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Behavioral Causal Discovery for Evaluating World-Model Structure</w:t>
      </w:r>
    </w:p>
    <w:p>
      <w:pPr>
        <w:jc w:val="center"/>
      </w:pPr>
      <w:r>
        <w:rPr>
          <w:rFonts w:ascii="Times New Roman" w:hAnsi="Times New Roman"/>
          <w:b/>
          <w:sz w:val="28"/>
        </w:rPr>
        <w:t>in Large Language Models for Clinical Oncology Decision-Making</w:t>
      </w:r>
    </w:p>
    <w:p/>
    <w:p>
      <w:r>
        <w:rPr>
          <w:rFonts w:ascii="Times New Roman" w:hAnsi="Times New Roman"/>
          <w:b w:val="0"/>
          <w:i w:val="0"/>
          <w:sz w:val="22"/>
        </w:rPr>
        <w:t>[Author Names]</w:t>
      </w:r>
    </w:p>
    <w:p>
      <w:r>
        <w:rPr>
          <w:rFonts w:ascii="Times New Roman" w:hAnsi="Times New Roman"/>
          <w:b w:val="0"/>
          <w:i w:val="0"/>
          <w:sz w:val="22"/>
        </w:rPr>
        <w:t>[Affiliations]</w:t>
      </w:r>
    </w:p>
    <w:p>
      <w:pPr>
        <w:pStyle w:val="Heading1"/>
      </w:pPr>
      <w:r>
        <w:t>Abstract</w:t>
      </w:r>
    </w:p>
    <w:p>
      <w:r>
        <w:rPr>
          <w:rFonts w:ascii="Times New Roman" w:hAnsi="Times New Roman"/>
          <w:b w:val="0"/>
          <w:i w:val="0"/>
          <w:sz w:val="22"/>
        </w:rPr>
        <w:t>Background: Clinical medicine is not practiced on averages but on individual patients whose decisive features often lie at the edge of the distribution. In that setting, benchmark success does not establish that a model encodes an intervention-sensitive causal representation of a clinical domain. The critical question is not only whether an LLM can reproduce a plausible recommendation, but whether it changes that recommendation in the correct causal direction when clinically relevant variables are perturbed.</w:t>
      </w:r>
    </w:p>
    <w:p>
      <w:r>
        <w:rPr>
          <w:rFonts w:ascii="Times New Roman" w:hAnsi="Times New Roman"/>
          <w:b w:val="0"/>
          <w:i w:val="0"/>
          <w:sz w:val="22"/>
        </w:rPr>
        <w:t>Methods: We developed a behavioral causal discovery framework to recover and evaluate LLMs’ implicit causal graphs for head and neck oncology decision-making. Using 88 counterfactual clinical vignettes (12 baselines and 76 perturbations) derived from an international Delphi consensus, we operationalized 60 statement-linked treatment rules into a 58-edge gold-standard graph. Five open-access models were evaluated through the Together.ai API: Kimi K2.5, DeepSeek-R1, Qwen3-Next-80B-A3B-Instruct, Mistral-Small-24B-Instruct-2501, and Llama 3.1-8B. The primary analysis was harmonized to 15 runs per model (6,600 vignette-run combinations total) using a two-phase prompting protocol. Before locking the final study, we audited benchmark integrity and performed layered parser validation. Recovered graphs were evaluated primarily along Coverage, Fidelity, and Discriminability, with Stability used as an auxiliary reproducibility domain.</w:t>
      </w:r>
    </w:p>
    <w:p>
      <w:r>
        <w:rPr>
          <w:rFonts w:ascii="Times New Roman" w:hAnsi="Times New Roman"/>
          <w:b w:val="0"/>
          <w:i w:val="0"/>
          <w:sz w:val="22"/>
        </w:rPr>
        <w:t>Results: Benchmark review confirmed 12 baselines, 76 perturbations, 60 statement-linked rules, 58 evaluation edges, zero missing source traceability among non-null perturbations, zero null-control drift, and zero staging inconsistencies. The parser showed near-ceiling performance on deterministic gold templates (98.9% exact match) and perfect performance on structured stance snippets (100%), whereas apparent low agreement on real outputs was driven predominantly by model disagreement with the gold standard, aggregate-label effects, and targeted query-space undercoverage rather than widespread parser failure. In the final five-model comparison, Kimi K2.5 achieved the broadest graph recovery (43 of 58 edges; 74.1% soft recall) and strongest causal-versus-noise separation (signal-to-noise ratio [SNR], 2.46), whereas DeepSeek-R1 showed the strongest overall four-domain balance when coverage, fidelity, discriminability, and stability were interpreted jointly (36 of 58 edges; 62.1% soft recall; direction accuracy, 66.7%; structural intervention distance [SID], 34 of 243 [14.0% wrong]). Qwen3-Next-80B and Mistral-Small-24B showed intermediate but directionally brittle structure. Llama 3.1-8B remained weakest (10 of 58 edges; 17.2% soft recall; SID, 45 of 233 [19.3% wrong]; SNR, 0.80). No model achieved complete or expert-level causal graph recovery.</w:t>
      </w:r>
    </w:p>
    <w:p>
      <w:r>
        <w:rPr>
          <w:rFonts w:ascii="Times New Roman" w:hAnsi="Times New Roman"/>
          <w:b w:val="0"/>
          <w:i w:val="0"/>
          <w:sz w:val="22"/>
        </w:rPr>
        <w:t>Conclusions: Behavioral causal discovery provides a practical externalist framework for evaluating whether LLMs encode clinically meaningful causal structure. Across five open-access models, frontier systems showed only partial and model-dependent world-model competence. For clinical deployment, benchmark-style success is insufficient: what matters is whether recommendations adapt in the correct causal direction when a case departs from the average pattern.</w:t>
      </w:r>
    </w:p>
    <w:p>
      <w:pPr>
        <w:pStyle w:val="Heading1"/>
      </w:pPr>
      <w:r>
        <w:t>Introduction</w:t>
      </w:r>
    </w:p>
    <w:p>
      <w:r>
        <w:rPr>
          <w:rFonts w:ascii="Times New Roman" w:hAnsi="Times New Roman"/>
          <w:b w:val="0"/>
          <w:i w:val="0"/>
          <w:sz w:val="22"/>
        </w:rPr>
        <w:t>Clinical medicine is not practiced on averages but on individual patients whose decisive features often lie at the edge of the distribution. The clinically consequential question is rarely what is usually done; it is what should change when one factor such as poor laryngeal exposure, aspiration risk, cisplatin ineligibility, or failure of induction chemotherapy shifts a patient into a different treatment regime. A clinically useful model must therefore reason causally about what makes a given case an exception, rather than merely reproduce the statistical center of prior cases. Craik’s original conception of cognition as the construction of “small-scale models” of reality for anticipation and simulation remains a useful starting point for framing this problem.1 Lake, Ullman, Tenenbaum, and Gershman later formalized the broader AI implication: systems that generalize robustly should be expected to encode structured causal models rather than isolated associations.2</w:t>
      </w:r>
    </w:p>
    <w:p>
      <w:r>
        <w:rPr>
          <w:rFonts w:ascii="Times New Roman" w:hAnsi="Times New Roman"/>
          <w:b w:val="0"/>
          <w:i w:val="0"/>
          <w:sz w:val="22"/>
        </w:rPr>
        <w:t>Large language models (LLMs) now perform impressively on medical examinations, question-answering benchmarks, and many vignette-style evaluations.3-5,29 Yet those successes do not resolve a central question: do these systems carry an intervention-sensitive representation of the clinical world, or do they primarily reproduce plausible answers through statistical imitation of common patterns? This distinction is not semantic. It matters most when a model encounters novel combinations of variables, conflicting constraints, contraindications, or counterfactual cases in which a recommendation should change for a specific reason.6,7 In clinical practice, those edge cases are not peripheral; they are often exactly where expert judgment matters.</w:t>
      </w:r>
    </w:p>
    <w:p>
      <w:r>
        <w:rPr>
          <w:rFonts w:ascii="Times New Roman" w:hAnsi="Times New Roman"/>
          <w:b w:val="0"/>
          <w:i w:val="0"/>
          <w:sz w:val="22"/>
        </w:rPr>
        <w:t>Current evaluation paradigms are poorly matched to that question. Multiple-choice examinations mainly test factual recall.8 Agreement studies on static clinical vignettes measure concordance with experts at the level of final recommendation but cannot distinguish latent causal competence from memorised associations.9 Even chain-of-thought or free-text reasoning analyses describe what the model says, not the structure that governs how its outputs adapt under intervention.10 Recent work has sharpened this concern. Agrawal et al described an “evaluation illusion” in medicine, in which benchmark performance overstates real clinical capability.23 Griot et al showed that strong medical LLMs lack key metacognitive properties required for dependable reasoning.24 Kim et al demonstrated that clinical problem-solving errors frequently arise from inflexible reasoning rather than absent facts.25 Zhou et al and Bedi et al further showed that reasoning quality and reasoning fidelity are themselves measurable, and not reducible to final-answer accuracy.26,27</w:t>
      </w:r>
    </w:p>
    <w:p>
      <w:r>
        <w:rPr>
          <w:rFonts w:ascii="Times New Roman" w:hAnsi="Times New Roman"/>
          <w:b w:val="0"/>
          <w:i w:val="0"/>
          <w:sz w:val="22"/>
        </w:rPr>
        <w:t>More broadly, the AI literature has renewed interest in whether LLMs exhibit causal or world-model-like structure.2,12,28 However, most available causal benchmarks test explicit textual inference, formal counterfactual question answering, or abstract reasoning over symbolic variables. They do not recover an expert-domain causal graph from a model’s behavioral shifts on realistic, high-dimensional decision problems. That is the methodological gap addressed here.</w:t>
      </w:r>
    </w:p>
    <w:p>
      <w:r>
        <w:rPr>
          <w:rFonts w:ascii="Times New Roman" w:hAnsi="Times New Roman"/>
          <w:b w:val="0"/>
          <w:i w:val="0"/>
          <w:sz w:val="22"/>
        </w:rPr>
        <w:t>We introduce behavioral causal discovery: a framework for recovering an LLM’s implicit causal graph by applying controlled clinical perturbations to baseline cases and measuring how the model’s treatment recommendations change. The recovered graph (KG2) is then compared with an independently derived expert reference graph (KG1), here based on an international Delphi consensus on laryngeal preservation strategies.11 This design does not assume access to model weights, latent states, or internal activations. Instead, it evaluates the observable behavioral consequence of intervention.</w:t>
      </w:r>
    </w:p>
    <w:p>
      <w:r>
        <w:rPr>
          <w:rFonts w:ascii="Times New Roman" w:hAnsi="Times New Roman"/>
          <w:b w:val="0"/>
          <w:i w:val="0"/>
          <w:sz w:val="22"/>
        </w:rPr>
        <w:t>We organize evaluation around three primary dimensions and one auxiliary reproducibility domain. Coverage asks how much of the expert graph is behaviorally recoverable. Fidelity asks whether recovered edges have the correct sign and interventional profile. Discriminability asks whether the model separates clinically meaningful perturbations from irrelevant changes. Stability asks whether the recovered structure is reproducible across run subsets without rewarding consistent emptiness or consistent wrongness. These dimensions are individually interpretable and jointly necessary. A model may recover many edges but with poor sign control, or may appear stable while being equally responsive to noise. The core claim of this study is therefore not that one model “wins” a benchmark, but that behavioral graph recovery provides a more rigorous way to test whether an LLM exhibits clinically meaningful causal structure in the settings where average-pattern imitation is most likely to fail.</w:t>
      </w:r>
    </w:p>
    <w:p>
      <w:pPr>
        <w:pStyle w:val="Heading1"/>
      </w:pPr>
      <w:r>
        <w:t>Methods</w:t>
      </w:r>
    </w:p>
    <w:p>
      <w:pPr>
        <w:pStyle w:val="Heading2"/>
      </w:pPr>
      <w:r>
        <w:t>Study Design and Reporting Standards</w:t>
      </w:r>
    </w:p>
    <w:p>
      <w:r>
        <w:rPr>
          <w:rFonts w:ascii="Times New Roman" w:hAnsi="Times New Roman"/>
          <w:b w:val="0"/>
          <w:i w:val="0"/>
          <w:sz w:val="22"/>
        </w:rPr>
        <w:t>This was a computational evaluation study of implicit causal representations in LLMs using semi-synthetic counterfactual clinical vignettes. No patients were enrolled and no protected health information was used. The study was designed and reported with the MI-CLAIM-GEN checklist21 and the DEAL framework for LLM studies in medicine.15 The complete vignette battery, benchmark-audit outputs, parser-validation artifacts, raw model outputs, and final analysis files are included in the repository and supplementary materials.</w:t>
      </w:r>
    </w:p>
    <w:p>
      <w:pPr>
        <w:pStyle w:val="Heading2"/>
      </w:pPr>
      <w:r>
        <w:t>Reference Causal Graph (KG1)</w:t>
      </w:r>
    </w:p>
    <w:p>
      <w:r>
        <w:rPr>
          <w:rFonts w:ascii="Times New Roman" w:hAnsi="Times New Roman"/>
          <w:b w:val="0"/>
          <w:i w:val="0"/>
          <w:sz w:val="22"/>
        </w:rPr>
        <w:t>The gold-standard causal graph (KG1) was derived from the international Delphi consensus on laryngeal preservation strategies published in Lancet Oncology (Ferrari et al., 2025).11 From 137 consensus statements, we operationalised 60 statement-linked treatment rules into a final 58-edge graph linking clinically perturbed variables to treatment recommendations, contraindications, or conditional restrictions. Source variables spanned tumour staging and extent, surgical access, pretreatment function, patient fitness, chemotherapy eligibility, and post-induction chemotherapy response. Target nodes comprised 16 treatment categories including TLM, TORS, OPHL subtypes, total laryngectomy, radiotherapy-alone strategies, concurrent CRT, and induction chemotherapy pathways. Each edge retained its source statement ID, rule type, and consensus metadata.</w:t>
      </w:r>
    </w:p>
    <w:p>
      <w:pPr>
        <w:pStyle w:val="Heading2"/>
      </w:pPr>
      <w:r>
        <w:t>Counterfactual Vignette Battery</w:t>
      </w:r>
    </w:p>
    <w:p>
      <w:r>
        <w:rPr>
          <w:rFonts w:ascii="Times New Roman" w:hAnsi="Times New Roman"/>
          <w:b w:val="0"/>
          <w:i w:val="0"/>
          <w:sz w:val="22"/>
        </w:rPr>
        <w:t>We constructed 88 clinical vignettes organized into 12 baselines and 76 perturbations. The 12 baselines span 10 clinical families: glottic cT2, glottic cT3, supraglottic cT3, hypopharyngeal cancer, cT4a unselected, cT4a selected for larynx preservation, cisplatin eligibility, post-induction chemotherapy response, elderly/frail presentations, and pretreatment function. Each perturbation modified one clinically relevant variable from its parent baseline while holding all others fixed. The perturbations comprised 48 flip perturbations, 12 escalation perturbations, 12 null perturbations, 3 gray-zone perturbations, and 1 multi-variable perturbation.</w:t>
      </w:r>
    </w:p>
    <w:p>
      <w:r>
        <w:rPr>
          <w:rFonts w:ascii="Times New Roman" w:hAnsi="Times New Roman"/>
          <w:b w:val="0"/>
          <w:i w:val="0"/>
          <w:sz w:val="22"/>
        </w:rPr>
        <w:t>Vignette generation was performed by a deterministic pipeline with staging-consistency checks and rule-level traceability back to the source Delphi statements. Before finalising the study, we re-audited the full battery as the benchmark source of truth. This audit confirmed the expected structure of 12 baselines and 76 perturbations, zero missing source traceability among non-null items, zero null-control drift, and zero staging inconsistencies. The audit also identified an important protocol limitation: some family-specific structured menus did not exhaustively query all concrete treatment labels represented in the battery. We therefore retained the collected dataset, kept aggregate labels deterministic rather than free-floating, and treated residual query-space undercoverage as an explicit limitation rather than silently redefining the benchmark.</w:t>
      </w:r>
    </w:p>
    <w:p>
      <w:pPr>
        <w:pStyle w:val="Heading2"/>
      </w:pPr>
      <w:r>
        <w:t>Model Selection and Access</w:t>
      </w:r>
    </w:p>
    <w:p>
      <w:r>
        <w:rPr>
          <w:rFonts w:ascii="Times New Roman" w:hAnsi="Times New Roman"/>
          <w:b w:val="0"/>
          <w:i w:val="0"/>
          <w:sz w:val="22"/>
        </w:rPr>
        <w:t>Five models were selected to span distinct capability regimes. Kimi K2.5 and DeepSeek-R1 represented large reasoning-oriented systems. Qwen3-Next-80B-A3B-Instruct provided a large frontier instruct comparator. Mistral-Small-24B-Instruct-2501 represented a capable mid-size model. Llama 3.1-8B served as the low-capacity baseline. All models were accessed through the Together.ai chat-completions API without retrieval augmentation, fine-tuning, or exemplar prompting. This zero-shot design targeted intrinsic causal structure rather than externally injected knowledge.</w:t>
      </w:r>
    </w:p>
    <w:p>
      <w:r>
        <w:rPr>
          <w:rFonts w:ascii="Times New Roman" w:hAnsi="Times New Roman"/>
          <w:b w:val="0"/>
          <w:i w:val="0"/>
          <w:sz w:val="22"/>
        </w:rPr>
        <w:t>The primary reported dataset was harmonised to 15 runs per model using run indices 0-14. This yielded 1,320 vignette-run combinations per model and 6,600 total combinations across five models. Each combination consisted of two API calls, one per prompting phase, for 13,200 calls in the harmonised dataset. Earlier exploratory and recovery outputs were preserved for provenance but were excluded from the final canonical comparison. During the prompt-repair pass, Together no longer exposed Meta-Llama-3.1-8B-Instruct-Turbo serverlessly; the four repaired Llama rows were therefore re-queried with Meta-Llama-3-8B-Instruct-Lite while preserving the original study-arm identity. This substitution affected only those repaired rows and is explicitly reported as a caveat.</w:t>
      </w:r>
    </w:p>
    <w:p>
      <w:pPr>
        <w:pStyle w:val="Heading2"/>
      </w:pPr>
      <w:r>
        <w:t>Prompting Protocol</w:t>
      </w:r>
    </w:p>
    <w:p>
      <w:r>
        <w:rPr>
          <w:rFonts w:ascii="Times New Roman" w:hAnsi="Times New Roman"/>
          <w:b w:val="0"/>
          <w:i w:val="0"/>
          <w:sz w:val="22"/>
        </w:rPr>
        <w:t>Each vignette was evaluated in two phases within a single conversation. Phase 1 elicited an open-ended treatment recommendation and rationale from the full vignette text. Phase 2 appended the Phase 1 response and asked family-specific treatment questions requiring one of four explicit stance labels: APPROPRIATE, CONTRAINDICATED, RELATIVELY CONTRAINDICATED, or UNCERTAIN. The structured phase increased comparability and enabled high-confidence parser extraction; the open-ended phase preserved coverage for treatments not explicitly present in the family-specific menu. This design became especially important after the benchmark audit showed that the family-specific menus were not fully exhaustive for all concrete labels.</w:t>
      </w:r>
    </w:p>
    <w:p>
      <w:pPr>
        <w:pStyle w:val="Heading2"/>
      </w:pPr>
      <w:r>
        <w:t>Response Parsing and Layered Validation</w:t>
      </w:r>
    </w:p>
    <w:p>
      <w:r>
        <w:rPr>
          <w:rFonts w:ascii="Times New Roman" w:hAnsi="Times New Roman"/>
          <w:b w:val="0"/>
          <w:i w:val="0"/>
          <w:sz w:val="22"/>
        </w:rPr>
        <w:t>Responses were parsed using a deterministic rule-based NLP pipeline that detects treatment mentions, assigns one of four stance labels, reconciles Phase 1 and Phase 2 evidence, and derives aggregate labels (`ophl_any`, `surgical_lp`, `nonsurgical_lp`) from concrete treatment stances rather than treating them as independent parser targets.</w:t>
      </w:r>
    </w:p>
    <w:p>
      <w:r>
        <w:rPr>
          <w:rFonts w:ascii="Times New Roman" w:hAnsi="Times New Roman"/>
          <w:b w:val="0"/>
          <w:i w:val="0"/>
          <w:sz w:val="22"/>
        </w:rPr>
        <w:t>Because low agreement between parsed outputs and benchmark expectations can reflect either parser defects or genuine model errors, parser review was performed in three layers. First, the parser was applied to deterministic gold-response templates generated directly from the battery. Second, it was applied to structured stance snippets with known labels, directly testing the high-confidence Phase 2 path. Third, real-output mismatches were audited and categorised as query-space gaps, aggregate-label mismatches, model omissions, candidate parser misses, or model-versus-gold stance disagreements. This layered validation allowed us to separate true parser failure from disagreement driven by model behaviour or protocol structure.</w:t>
      </w:r>
    </w:p>
    <w:p>
      <w:pPr>
        <w:pStyle w:val="Heading2"/>
      </w:pPr>
      <w:r>
        <w:t>Causal Graph Recovery</w:t>
      </w:r>
    </w:p>
    <w:p>
      <w:r>
        <w:rPr>
          <w:rFonts w:ascii="Times New Roman" w:hAnsi="Times New Roman"/>
          <w:b w:val="0"/>
          <w:i w:val="0"/>
          <w:sz w:val="22"/>
        </w:rPr>
        <w:t>The recovered behavioral graph (KG2) was built by comparing the stance distributions of each perturbation with those of its parent baseline across repeated runs. For each perturbation-treatment-model combination, we computed the Jensen-Shannon divergence (JSD) between stance distributions and applied Fisher’s exact test to recommendation-versus-not-recommendation counts, followed by Benjamini-Hochberg correction at q = 0.05. Multiple perturbations could probe the same gold-standard edge through different contexts. Edges were classified at a hard threshold when a majority of their probes were significant and the mean JSD exceeded 0.10; soft detection captured weaker but still reproducible evidence across probes. Direction correctness was assessed by comparing the observed shift in recommendation probability with the expert-expected sign of the perturbation.</w:t>
      </w:r>
    </w:p>
    <w:p>
      <w:pPr>
        <w:pStyle w:val="Heading2"/>
      </w:pPr>
      <w:r>
        <w:t>Three-Dimensional Evaluation Framework</w:t>
      </w:r>
    </w:p>
    <w:p>
      <w:r>
        <w:rPr>
          <w:rFonts w:ascii="Times New Roman" w:hAnsi="Times New Roman"/>
          <w:b w:val="0"/>
          <w:i w:val="0"/>
          <w:sz w:val="22"/>
        </w:rPr>
        <w:t>Coverage measured the fraction of the 58 gold-standard edges recovered by a model, reported as both hard recall and soft recall. Fidelity was measured with two complementary metrics: direction accuracy on detected edges and Structural Intervention Distance (SID), adapted from Peters and Buhlmann13 to count intervention-treatment mismatches across the full perturbation battery. Discriminability measured the separation between clinically meaningful and irrelevant perturbations. Its primary metric was the signal-to-noise ratio (SNR), defined as mean causal JSD divided by mean null JSD; detection power was the fraction of causal JSD values exceeding the 95th percentile of each model’s null distribution. Stability was assessed with split-half agreement and related reproducibility analyses, but interpreted only in the context of coverage to avoid over-rewarding sparse graphs. Legacy composite indices were retained only as exploratory supplementary artifacts and were not used for primary interpretation.</w:t>
      </w:r>
    </w:p>
    <w:p>
      <w:pPr>
        <w:pStyle w:val="Heading2"/>
      </w:pPr>
      <w:r>
        <w:t>Statistical Analysis</w:t>
      </w:r>
    </w:p>
    <w:p>
      <w:r>
        <w:rPr>
          <w:rFonts w:ascii="Times New Roman" w:hAnsi="Times New Roman"/>
          <w:b w:val="0"/>
          <w:i w:val="0"/>
          <w:sz w:val="22"/>
        </w:rPr>
        <w:t>All significance tests were two-sided with alpha = 0.05, with Benjamini-Hochberg correction at q = 0.05 within each model. Bootstrap confidence intervals for JSD-based quantities used bias-corrected and accelerated resampling with 2,000 replicates and Dirichlet smoothing. The full analysis stack was implemented in Python 3.10 and executed deterministically given identical inputs.</w:t>
      </w:r>
    </w:p>
    <w:p>
      <w:pPr>
        <w:pStyle w:val="Heading2"/>
      </w:pPr>
      <w:r>
        <w:t>Code and Data Availability</w:t>
      </w:r>
    </w:p>
    <w:p>
      <w:r>
        <w:rPr>
          <w:rFonts w:ascii="Times New Roman" w:hAnsi="Times New Roman"/>
          <w:b w:val="0"/>
          <w:i w:val="0"/>
          <w:sz w:val="22"/>
        </w:rPr>
        <w:t>The repository contains the final vignette battery, benchmark-audit outputs, parser-validation outputs, canonical five-model raw dataset, parsed stances, enhanced graph-comparison outputs, and world-model metrics. Review artifacts relevant to this final manuscript lock include the benchmark-audit package under `docs/review/final_benchmark_lock/`, the parser-validation package under `results/parser_validation/article-metrics-5models-final/`, the final analysis outputs under `results/analysis/article-metrics-5models-final/`, and the final world-model outputs under `results/world_model/article-metrics-5models-final/` and `results/world_model/v2/article-metrics-5models-final/`.</w:t>
      </w:r>
    </w:p>
    <w:p>
      <w:pPr>
        <w:pStyle w:val="Heading1"/>
      </w:pPr>
      <w:r>
        <w:t>Results</w:t>
      </w:r>
    </w:p>
    <w:p>
      <w:pPr>
        <w:pStyle w:val="Heading2"/>
      </w:pPr>
      <w:r>
        <w:t>Benchmark and Parser Lock</w:t>
      </w:r>
    </w:p>
    <w:p>
      <w:r>
        <w:rPr>
          <w:rFonts w:ascii="Times New Roman" w:hAnsi="Times New Roman"/>
          <w:b w:val="0"/>
          <w:i w:val="0"/>
          <w:sz w:val="22"/>
        </w:rPr>
        <w:t>The benchmark audit confirmed that the final study battery was internally coherent and source-traceable: 12 baselines, 76 perturbations, 88 total items, 60 statement-linked treatment rules, and 58 evaluation edges. No non-null perturbation lacked a source anchor, no null perturbation drifted from its parent baseline expectations, and no staging inconsistency was detected in the generated cases. The remaining benchmark-level issue was not source correctness but protocol coverage: several family-specific structured menus under-probed concrete labels such as OPHL subtypes, TLM in selected advanced-stage contexts, and some cisplatin-fallback regimens. We therefore interpret the recovered graphs in the context of a clinically valid but not perfectly exhaustive structured question space.</w:t>
      </w:r>
    </w:p>
    <w:p>
      <w:r>
        <w:rPr>
          <w:rFonts w:ascii="Times New Roman" w:hAnsi="Times New Roman"/>
          <w:b w:val="0"/>
          <w:i w:val="0"/>
          <w:sz w:val="22"/>
        </w:rPr>
        <w:t>The parser lock showed a similar pattern. On deterministic gold templates, the parser achieved 98.9% exact match, with 100% precision and recall for both recommended and excluded labels on the gold targets. On structured stance snippets, it achieved 100% exact match across all four stance labels. In contrast, direct alignment between parsed real outputs and battery expectations was low at the row level (1.0% exact match), but the mismatch audit showed that most of this deficit was not parser failure: 20,757 mismatches were attributable to model-versus-gold stance disagreement, 9,234 to aggregate-label mismatch, and 2,293 to query-space undercoverage, compared with only 551 candidate parser misses and 21 model omissions. These findings support a specific conclusion: the parser is reliable for extracting what the models actually say, whereas much of the residual error burden lies in the models themselves or in the limits of the structured menu design.</w:t>
      </w:r>
    </w:p>
    <w:p>
      <w:pPr>
        <w:pStyle w:val="Heading2"/>
      </w:pPr>
      <w:r>
        <w:t>Coverage of Expert Causal Structure</w:t>
      </w:r>
    </w:p>
    <w:p>
      <w:r>
        <w:rPr>
          <w:rFonts w:ascii="Times New Roman" w:hAnsi="Times New Roman"/>
          <w:b w:val="0"/>
          <w:i w:val="0"/>
          <w:sz w:val="22"/>
        </w:rPr>
        <w:t>Coverage varied widely across models. Kimi K2.5 recovered 43 of 58 gold-standard edges at the soft threshold (74.1% soft recall) and 4 of 58 at the hard threshold (6.9%). DeepSeek-R1 recovered 36 of 58 edges at the soft threshold (62.1%) and 6 hard-detected edges (10.3%), yielding the strongest hard-recall profile. Mistral-Small-24B and Qwen3-Next-80B-A3B-Instruct occupied an intermediate range, recovering 25 of 58 (43.1%) and 23 of 58 (39.7%) edges, respectively, with one hard-detected edge each. Llama 3.1-8B remained sparse, recovering only 10 of 58 edges at the soft threshold (17.2%) and none at the hard threshold.</w:t>
      </w:r>
    </w:p>
    <w:p>
      <w:r>
        <w:rPr>
          <w:rFonts w:ascii="Times New Roman" w:hAnsi="Times New Roman"/>
          <w:b w:val="0"/>
          <w:i w:val="0"/>
          <w:sz w:val="22"/>
        </w:rPr>
        <w:t>These coverage differences were not merely quantitative. Kimi’s graph was the broadest but also included more weakly specified edges, whereas DeepSeek-R1 recovered a smaller graph with cleaner high-confidence structure. The mid-tier models were not graph-empty, but their recoveries were thinner, more context-specific, and less robust at the strict threshold. Llama’s graph remained fragmentary.</w:t>
      </w:r>
    </w:p>
    <w:p>
      <w:pPr>
        <w:pStyle w:val="Heading2"/>
      </w:pPr>
      <w:r>
        <w:t>Fidelity of Recovered Structure</w:t>
      </w:r>
    </w:p>
    <w:p>
      <w:r>
        <w:rPr>
          <w:rFonts w:ascii="Times New Roman" w:hAnsi="Times New Roman"/>
          <w:b w:val="0"/>
          <w:i w:val="0"/>
          <w:sz w:val="22"/>
        </w:rPr>
        <w:t>Fidelity separated the models in a different way from coverage. DeepSeek-R1 had the strongest overall fidelity profile, combining the highest direction accuracy (66.7%) with SID 34 of 243 (14.0% wrong). Kimi K2.5 showed broader graph recovery but lower sign control, with direction accuracy 50.0% and SID 41 of 246 (16.7% wrong). Qwen3-Next-80B and Mistral-Small-24B had lower SID values, 32 of 237 (13.5%) and 31 of 236 (13.1%) respectively, but these apparently favourable SID rates must be interpreted cautiously because neither model produced a meaningful set of direction-correct hard edges; both had 0% direction accuracy under the hard-edge directional metric. Llama 3.1-8B was weakest, with SID 45 of 233 (19.3% wrong) and no direction-correct hard edges.</w:t>
      </w:r>
    </w:p>
    <w:p>
      <w:r>
        <w:rPr>
          <w:rFonts w:ascii="Times New Roman" w:hAnsi="Times New Roman"/>
          <w:b w:val="0"/>
          <w:i w:val="0"/>
          <w:sz w:val="22"/>
        </w:rPr>
        <w:t>This pattern matters because coverage alone would favour Kimi, whereas fidelity alone would overstate the strength of mid-tier models that recover relatively few clean, directionally correct edges. Taken together, the results point to different regimes of causal competence rather than a single ranking axis.</w:t>
      </w:r>
    </w:p>
    <w:p>
      <w:pPr>
        <w:pStyle w:val="Heading2"/>
      </w:pPr>
      <w:r>
        <w:t>Edge-Level Signal Strength</w:t>
      </w:r>
    </w:p>
    <w:p>
      <w:r>
        <w:rPr>
          <w:rFonts w:ascii="Times New Roman" w:hAnsi="Times New Roman"/>
          <w:b w:val="0"/>
          <w:i w:val="0"/>
          <w:sz w:val="22"/>
        </w:rPr>
        <w:t>Edge-level JSD analyses showed a clear stratification in causal response magnitude. Kimi K2.5 had the strongest mean causal signal (mean causal JSD, 0.187), followed by DeepSeek-R1 (0.154), Mistral-Small-24B (0.116), Qwen3-Next-80B-A3B-Instruct (0.103), and Llama 3.1-8B (0.059). Mean null JSD remained lower for Kimi (0.076), DeepSeek-R1 (0.072), Mistral-Small-24B (0.070), and Qwen3-Next-80B (0.055), but not for Llama, whose mean null JSD (0.074) exceeded its mean causal JSD.</w:t>
      </w:r>
    </w:p>
    <w:p>
      <w:r>
        <w:rPr>
          <w:rFonts w:ascii="Times New Roman" w:hAnsi="Times New Roman"/>
          <w:b w:val="0"/>
          <w:i w:val="0"/>
          <w:sz w:val="22"/>
        </w:rPr>
        <w:t>At the edge level, this implies that the frontier models were not only detecting more edges but also moving more decisively on clinically relevant perturbations. Llama, by contrast, remained close to or below its own behavioral noise floor.</w:t>
      </w:r>
    </w:p>
    <w:p>
      <w:pPr>
        <w:pStyle w:val="Heading2"/>
      </w:pPr>
      <w:r>
        <w:t>Discriminability: Signal versus Noise</w:t>
      </w:r>
    </w:p>
    <w:p>
      <w:r>
        <w:rPr>
          <w:rFonts w:ascii="Times New Roman" w:hAnsi="Times New Roman"/>
          <w:b w:val="0"/>
          <w:i w:val="0"/>
          <w:sz w:val="22"/>
        </w:rPr>
        <w:t>Discriminability reinforced this separation. Kimi K2.5 achieved the highest SNR (2.46) and the highest detection power (20.7%), indicating the strongest separation between clinically meaningful perturbations and null controls. DeepSeek-R1 followed closely (SNR 2.14; detection power 17.3%), and Qwen3-Next-80B and Mistral-Small-24B occupied an intermediate band (SNR 1.87 and 1.66, respectively; detection power 15.6% and 13.1%). Llama 3.1-8B was qualitatively distinct, with SNR 0.80 and detection power 2.6%, meaning that null perturbations still elicited shifts comparable to or larger than causal perturbations.</w:t>
      </w:r>
    </w:p>
    <w:p>
      <w:r>
        <w:rPr>
          <w:rFonts w:ascii="Times New Roman" w:hAnsi="Times New Roman"/>
          <w:b w:val="0"/>
          <w:i w:val="0"/>
          <w:sz w:val="22"/>
        </w:rPr>
        <w:t>This was the clearest empirical signature of an inadequate world model. Even when Llama produced superficially plausible recommendations, it did not reliably discriminate signal from irrelevance at the graph level.</w:t>
      </w:r>
    </w:p>
    <w:p>
      <w:pPr>
        <w:pStyle w:val="Heading2"/>
      </w:pPr>
      <w:r>
        <w:t>Integrated Model Profiles</w:t>
      </w:r>
    </w:p>
    <w:p>
      <w:r>
        <w:rPr>
          <w:rFonts w:ascii="Times New Roman" w:hAnsi="Times New Roman"/>
          <w:b w:val="0"/>
          <w:i w:val="0"/>
          <w:sz w:val="22"/>
        </w:rPr>
        <w:t>Taken together, the primary dimensions revealed five distinct behavioral profiles. Kimi K2.5 was broad but noisier: it recovered the largest share of the graph and best separated signal from null perturbations, but with more directional brittleness than DeepSeek-R1. DeepSeek-R1 was the most balanced model: lower coverage than Kimi, but stronger sign control and better reproducibility without pathological responsiveness to noise. Qwen3-Next-80B and Mistral-Small-24B exhibited partial but directionally brittle world-model structure. Llama 3.1-8B remained the weakest model on every primary dimension and the only one with SNR below 1.0. Supplementary domain decomposition showed the same general ordering: DeepSeek-R1 and Kimi occupied the strongest frontier regime, the intermediate models recovered partial but unstable structure, and Llama remained fragmentary.</w:t>
      </w:r>
    </w:p>
    <w:p>
      <w:r>
        <w:rPr>
          <w:rFonts w:ascii="Times New Roman" w:hAnsi="Times New Roman"/>
          <w:b w:val="0"/>
          <w:i/>
          <w:sz w:val="22"/>
        </w:rPr>
        <w:t>Figure 1. Shared-layout comparison of the gold-standard graph (KG1) and the five recovered behavioral graphs (KG2). Gold edges are shown as the fixed reference skeleton; model-specific overlays indicate correct recovery, unrecovered edges, and direction errors. The figure is intended to make visible the difference between graph breadth (Kimi), graph cleanliness (DeepSeek-R1), intermediate partial structure (Qwen3-Next and Mistral-Small), and the sparse baseline regime (Llama 3.1-8B).</w:t>
      </w:r>
    </w:p>
    <w:p>
      <w:r>
        <w:rPr>
          <w:rFonts w:ascii="Times New Roman" w:hAnsi="Times New Roman"/>
          <w:b w:val="0"/>
          <w:i/>
          <w:sz w:val="22"/>
        </w:rPr>
        <w:t>Table 1. Three-dimensional world-model evaluation across the five evaluated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Dimension / Metric</w:t>
            </w:r>
          </w:p>
        </w:tc>
        <w:tc>
          <w:tcPr>
            <w:tcW w:type="dxa" w:w="1560"/>
          </w:tcPr>
          <w:p>
            <w:r>
              <w:rPr>
                <w:rFonts w:ascii="Times New Roman" w:hAnsi="Times New Roman"/>
                <w:b/>
                <w:sz w:val="20"/>
              </w:rPr>
              <w:t>DeepSeek-R1</w:t>
            </w:r>
          </w:p>
        </w:tc>
        <w:tc>
          <w:tcPr>
            <w:tcW w:type="dxa" w:w="1560"/>
          </w:tcPr>
          <w:p>
            <w:r>
              <w:rPr>
                <w:rFonts w:ascii="Times New Roman" w:hAnsi="Times New Roman"/>
                <w:b/>
                <w:sz w:val="20"/>
              </w:rPr>
              <w:t>Kimi K2.5</w:t>
            </w:r>
          </w:p>
        </w:tc>
        <w:tc>
          <w:tcPr>
            <w:tcW w:type="dxa" w:w="1560"/>
          </w:tcPr>
          <w:p>
            <w:r>
              <w:rPr>
                <w:rFonts w:ascii="Times New Roman" w:hAnsi="Times New Roman"/>
                <w:b/>
                <w:sz w:val="20"/>
              </w:rPr>
              <w:t>Qwen3-Next-80B</w:t>
            </w:r>
          </w:p>
        </w:tc>
        <w:tc>
          <w:tcPr>
            <w:tcW w:type="dxa" w:w="1560"/>
          </w:tcPr>
          <w:p>
            <w:r>
              <w:rPr>
                <w:rFonts w:ascii="Times New Roman" w:hAnsi="Times New Roman"/>
                <w:b/>
                <w:sz w:val="20"/>
              </w:rPr>
              <w:t>Mistral-Small-24B</w:t>
            </w:r>
          </w:p>
        </w:tc>
        <w:tc>
          <w:tcPr>
            <w:tcW w:type="dxa" w:w="1560"/>
          </w:tcPr>
          <w:p>
            <w:r>
              <w:rPr>
                <w:rFonts w:ascii="Times New Roman" w:hAnsi="Times New Roman"/>
                <w:b/>
                <w:sz w:val="20"/>
              </w:rPr>
              <w:t>Llama 3.1-8B</w:t>
            </w:r>
          </w:p>
        </w:tc>
      </w:tr>
      <w:tr>
        <w:tc>
          <w:tcPr>
            <w:tcW w:type="dxa" w:w="1560"/>
          </w:tcPr>
          <w:p>
            <w:r>
              <w:rPr>
                <w:rFonts w:ascii="Times New Roman" w:hAnsi="Times New Roman"/>
                <w:b/>
                <w:sz w:val="20"/>
              </w:rPr>
              <w:t>COVERAGE</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sz w:val="20"/>
              </w:rPr>
              <w:t>Soft recall</w:t>
            </w:r>
          </w:p>
        </w:tc>
        <w:tc>
          <w:tcPr>
            <w:tcW w:type="dxa" w:w="1560"/>
          </w:tcPr>
          <w:p>
            <w:r>
              <w:rPr>
                <w:rFonts w:ascii="Times New Roman" w:hAnsi="Times New Roman"/>
                <w:sz w:val="20"/>
              </w:rPr>
              <w:t>36/58 (62.1%)</w:t>
            </w:r>
          </w:p>
        </w:tc>
        <w:tc>
          <w:tcPr>
            <w:tcW w:type="dxa" w:w="1560"/>
          </w:tcPr>
          <w:p>
            <w:r>
              <w:rPr>
                <w:rFonts w:ascii="Times New Roman" w:hAnsi="Times New Roman"/>
                <w:sz w:val="20"/>
              </w:rPr>
              <w:t>43/58 (74.1%)</w:t>
            </w:r>
          </w:p>
        </w:tc>
        <w:tc>
          <w:tcPr>
            <w:tcW w:type="dxa" w:w="1560"/>
          </w:tcPr>
          <w:p>
            <w:r>
              <w:rPr>
                <w:rFonts w:ascii="Times New Roman" w:hAnsi="Times New Roman"/>
                <w:sz w:val="20"/>
              </w:rPr>
              <w:t>23/58 (39.7%)</w:t>
            </w:r>
          </w:p>
        </w:tc>
        <w:tc>
          <w:tcPr>
            <w:tcW w:type="dxa" w:w="1560"/>
          </w:tcPr>
          <w:p>
            <w:r>
              <w:rPr>
                <w:rFonts w:ascii="Times New Roman" w:hAnsi="Times New Roman"/>
                <w:sz w:val="20"/>
              </w:rPr>
              <w:t>25/58 (43.1%)</w:t>
            </w:r>
          </w:p>
        </w:tc>
        <w:tc>
          <w:tcPr>
            <w:tcW w:type="dxa" w:w="1560"/>
          </w:tcPr>
          <w:p>
            <w:r>
              <w:rPr>
                <w:rFonts w:ascii="Times New Roman" w:hAnsi="Times New Roman"/>
                <w:sz w:val="20"/>
              </w:rPr>
              <w:t>10/58 (17.2%)</w:t>
            </w:r>
          </w:p>
        </w:tc>
      </w:tr>
      <w:tr>
        <w:tc>
          <w:tcPr>
            <w:tcW w:type="dxa" w:w="1560"/>
          </w:tcPr>
          <w:p>
            <w:r>
              <w:rPr>
                <w:rFonts w:ascii="Times New Roman" w:hAnsi="Times New Roman"/>
                <w:sz w:val="20"/>
              </w:rPr>
              <w:t>Hard recall</w:t>
            </w:r>
          </w:p>
        </w:tc>
        <w:tc>
          <w:tcPr>
            <w:tcW w:type="dxa" w:w="1560"/>
          </w:tcPr>
          <w:p>
            <w:r>
              <w:rPr>
                <w:rFonts w:ascii="Times New Roman" w:hAnsi="Times New Roman"/>
                <w:sz w:val="20"/>
              </w:rPr>
              <w:t>6/58 (10.3%)</w:t>
            </w:r>
          </w:p>
        </w:tc>
        <w:tc>
          <w:tcPr>
            <w:tcW w:type="dxa" w:w="1560"/>
          </w:tcPr>
          <w:p>
            <w:r>
              <w:rPr>
                <w:rFonts w:ascii="Times New Roman" w:hAnsi="Times New Roman"/>
                <w:sz w:val="20"/>
              </w:rPr>
              <w:t>4/58 (6.9%)</w:t>
            </w:r>
          </w:p>
        </w:tc>
        <w:tc>
          <w:tcPr>
            <w:tcW w:type="dxa" w:w="1560"/>
          </w:tcPr>
          <w:p>
            <w:r>
              <w:rPr>
                <w:rFonts w:ascii="Times New Roman" w:hAnsi="Times New Roman"/>
                <w:sz w:val="20"/>
              </w:rPr>
              <w:t>1/58 (1.7%)</w:t>
            </w:r>
          </w:p>
        </w:tc>
        <w:tc>
          <w:tcPr>
            <w:tcW w:type="dxa" w:w="1560"/>
          </w:tcPr>
          <w:p>
            <w:r>
              <w:rPr>
                <w:rFonts w:ascii="Times New Roman" w:hAnsi="Times New Roman"/>
                <w:sz w:val="20"/>
              </w:rPr>
              <w:t>1/58 (1.7%)</w:t>
            </w:r>
          </w:p>
        </w:tc>
        <w:tc>
          <w:tcPr>
            <w:tcW w:type="dxa" w:w="1560"/>
          </w:tcPr>
          <w:p>
            <w:r>
              <w:rPr>
                <w:rFonts w:ascii="Times New Roman" w:hAnsi="Times New Roman"/>
                <w:sz w:val="20"/>
              </w:rPr>
              <w:t>0/58 (0.0%)</w:t>
            </w:r>
          </w:p>
        </w:tc>
      </w:tr>
      <w:tr>
        <w:tc>
          <w:tcPr>
            <w:tcW w:type="dxa" w:w="1560"/>
          </w:tcPr>
          <w:p>
            <w:r>
              <w:rPr>
                <w:rFonts w:ascii="Times New Roman" w:hAnsi="Times New Roman"/>
                <w:b/>
                <w:sz w:val="20"/>
              </w:rPr>
              <w:t>FIDELITY</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sz w:val="20"/>
              </w:rPr>
              <w:t>Direction accuracy</w:t>
            </w:r>
          </w:p>
        </w:tc>
        <w:tc>
          <w:tcPr>
            <w:tcW w:type="dxa" w:w="1560"/>
          </w:tcPr>
          <w:p>
            <w:r>
              <w:rPr>
                <w:rFonts w:ascii="Times New Roman" w:hAnsi="Times New Roman"/>
                <w:sz w:val="20"/>
              </w:rPr>
              <w:t>66.7%</w:t>
            </w:r>
          </w:p>
        </w:tc>
        <w:tc>
          <w:tcPr>
            <w:tcW w:type="dxa" w:w="1560"/>
          </w:tcPr>
          <w:p>
            <w:r>
              <w:rPr>
                <w:rFonts w:ascii="Times New Roman" w:hAnsi="Times New Roman"/>
                <w:sz w:val="20"/>
              </w:rPr>
              <w:t>50.0%</w:t>
            </w:r>
          </w:p>
        </w:tc>
        <w:tc>
          <w:tcPr>
            <w:tcW w:type="dxa" w:w="1560"/>
          </w:tcPr>
          <w:p>
            <w:r>
              <w:rPr>
                <w:rFonts w:ascii="Times New Roman" w:hAnsi="Times New Roman"/>
                <w:sz w:val="20"/>
              </w:rPr>
              <w:t>0.0%</w:t>
            </w:r>
          </w:p>
        </w:tc>
        <w:tc>
          <w:tcPr>
            <w:tcW w:type="dxa" w:w="1560"/>
          </w:tcPr>
          <w:p>
            <w:r>
              <w:rPr>
                <w:rFonts w:ascii="Times New Roman" w:hAnsi="Times New Roman"/>
                <w:sz w:val="20"/>
              </w:rPr>
              <w:t>0.0%</w:t>
            </w:r>
          </w:p>
        </w:tc>
        <w:tc>
          <w:tcPr>
            <w:tcW w:type="dxa" w:w="1560"/>
          </w:tcPr>
          <w:p>
            <w:r>
              <w:rPr>
                <w:rFonts w:ascii="Times New Roman" w:hAnsi="Times New Roman"/>
                <w:sz w:val="20"/>
              </w:rPr>
              <w:t>0.0%</w:t>
            </w:r>
          </w:p>
        </w:tc>
      </w:tr>
      <w:tr>
        <w:tc>
          <w:tcPr>
            <w:tcW w:type="dxa" w:w="1560"/>
          </w:tcPr>
          <w:p>
            <w:r>
              <w:rPr>
                <w:rFonts w:ascii="Times New Roman" w:hAnsi="Times New Roman"/>
                <w:sz w:val="20"/>
              </w:rPr>
              <w:t>SID (errors / tested)</w:t>
            </w:r>
          </w:p>
        </w:tc>
        <w:tc>
          <w:tcPr>
            <w:tcW w:type="dxa" w:w="1560"/>
          </w:tcPr>
          <w:p>
            <w:r>
              <w:rPr>
                <w:rFonts w:ascii="Times New Roman" w:hAnsi="Times New Roman"/>
                <w:sz w:val="20"/>
              </w:rPr>
              <w:t>34/243 (14.0%)</w:t>
            </w:r>
          </w:p>
        </w:tc>
        <w:tc>
          <w:tcPr>
            <w:tcW w:type="dxa" w:w="1560"/>
          </w:tcPr>
          <w:p>
            <w:r>
              <w:rPr>
                <w:rFonts w:ascii="Times New Roman" w:hAnsi="Times New Roman"/>
                <w:sz w:val="20"/>
              </w:rPr>
              <w:t>41/246 (16.7%)</w:t>
            </w:r>
          </w:p>
        </w:tc>
        <w:tc>
          <w:tcPr>
            <w:tcW w:type="dxa" w:w="1560"/>
          </w:tcPr>
          <w:p>
            <w:r>
              <w:rPr>
                <w:rFonts w:ascii="Times New Roman" w:hAnsi="Times New Roman"/>
                <w:sz w:val="20"/>
              </w:rPr>
              <w:t>32/237 (13.5%)</w:t>
            </w:r>
          </w:p>
        </w:tc>
        <w:tc>
          <w:tcPr>
            <w:tcW w:type="dxa" w:w="1560"/>
          </w:tcPr>
          <w:p>
            <w:r>
              <w:rPr>
                <w:rFonts w:ascii="Times New Roman" w:hAnsi="Times New Roman"/>
                <w:sz w:val="20"/>
              </w:rPr>
              <w:t>31/236 (13.1%)</w:t>
            </w:r>
          </w:p>
        </w:tc>
        <w:tc>
          <w:tcPr>
            <w:tcW w:type="dxa" w:w="1560"/>
          </w:tcPr>
          <w:p>
            <w:r>
              <w:rPr>
                <w:rFonts w:ascii="Times New Roman" w:hAnsi="Times New Roman"/>
                <w:sz w:val="20"/>
              </w:rPr>
              <w:t>45/233 (19.3%)</w:t>
            </w:r>
          </w:p>
        </w:tc>
      </w:tr>
      <w:tr>
        <w:tc>
          <w:tcPr>
            <w:tcW w:type="dxa" w:w="1560"/>
          </w:tcPr>
          <w:p>
            <w:r>
              <w:rPr>
                <w:rFonts w:ascii="Times New Roman" w:hAnsi="Times New Roman"/>
                <w:b/>
                <w:sz w:val="20"/>
              </w:rPr>
              <w:t>DISCRIMINABILITY</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b/>
                <w:sz w:val="20"/>
              </w:rPr>
              <w:t>SNR</w:t>
            </w:r>
          </w:p>
        </w:tc>
        <w:tc>
          <w:tcPr>
            <w:tcW w:type="dxa" w:w="1560"/>
          </w:tcPr>
          <w:p>
            <w:r>
              <w:rPr>
                <w:rFonts w:ascii="Times New Roman" w:hAnsi="Times New Roman"/>
                <w:sz w:val="20"/>
              </w:rPr>
              <w:t>2.14</w:t>
            </w:r>
          </w:p>
        </w:tc>
        <w:tc>
          <w:tcPr>
            <w:tcW w:type="dxa" w:w="1560"/>
          </w:tcPr>
          <w:p>
            <w:r>
              <w:rPr>
                <w:rFonts w:ascii="Times New Roman" w:hAnsi="Times New Roman"/>
                <w:sz w:val="20"/>
              </w:rPr>
              <w:t>2.46</w:t>
            </w:r>
          </w:p>
        </w:tc>
        <w:tc>
          <w:tcPr>
            <w:tcW w:type="dxa" w:w="1560"/>
          </w:tcPr>
          <w:p>
            <w:r>
              <w:rPr>
                <w:rFonts w:ascii="Times New Roman" w:hAnsi="Times New Roman"/>
                <w:sz w:val="20"/>
              </w:rPr>
              <w:t>1.87</w:t>
            </w:r>
          </w:p>
        </w:tc>
        <w:tc>
          <w:tcPr>
            <w:tcW w:type="dxa" w:w="1560"/>
          </w:tcPr>
          <w:p>
            <w:r>
              <w:rPr>
                <w:rFonts w:ascii="Times New Roman" w:hAnsi="Times New Roman"/>
                <w:sz w:val="20"/>
              </w:rPr>
              <w:t>1.66</w:t>
            </w:r>
          </w:p>
        </w:tc>
        <w:tc>
          <w:tcPr>
            <w:tcW w:type="dxa" w:w="1560"/>
          </w:tcPr>
          <w:p>
            <w:r>
              <w:rPr>
                <w:rFonts w:ascii="Times New Roman" w:hAnsi="Times New Roman"/>
                <w:sz w:val="20"/>
              </w:rPr>
              <w:t>0.80</w:t>
            </w:r>
          </w:p>
        </w:tc>
      </w:tr>
      <w:tr>
        <w:tc>
          <w:tcPr>
            <w:tcW w:type="dxa" w:w="1560"/>
          </w:tcPr>
          <w:p>
            <w:r>
              <w:rPr>
                <w:rFonts w:ascii="Times New Roman" w:hAnsi="Times New Roman"/>
                <w:sz w:val="20"/>
              </w:rPr>
              <w:t>Detection power</w:t>
            </w:r>
          </w:p>
        </w:tc>
        <w:tc>
          <w:tcPr>
            <w:tcW w:type="dxa" w:w="1560"/>
          </w:tcPr>
          <w:p>
            <w:r>
              <w:rPr>
                <w:rFonts w:ascii="Times New Roman" w:hAnsi="Times New Roman"/>
                <w:sz w:val="20"/>
              </w:rPr>
              <w:t>17.3%</w:t>
            </w:r>
          </w:p>
        </w:tc>
        <w:tc>
          <w:tcPr>
            <w:tcW w:type="dxa" w:w="1560"/>
          </w:tcPr>
          <w:p>
            <w:r>
              <w:rPr>
                <w:rFonts w:ascii="Times New Roman" w:hAnsi="Times New Roman"/>
                <w:sz w:val="20"/>
              </w:rPr>
              <w:t>20.7%</w:t>
            </w:r>
          </w:p>
        </w:tc>
        <w:tc>
          <w:tcPr>
            <w:tcW w:type="dxa" w:w="1560"/>
          </w:tcPr>
          <w:p>
            <w:r>
              <w:rPr>
                <w:rFonts w:ascii="Times New Roman" w:hAnsi="Times New Roman"/>
                <w:sz w:val="20"/>
              </w:rPr>
              <w:t>15.6%</w:t>
            </w:r>
          </w:p>
        </w:tc>
        <w:tc>
          <w:tcPr>
            <w:tcW w:type="dxa" w:w="1560"/>
          </w:tcPr>
          <w:p>
            <w:r>
              <w:rPr>
                <w:rFonts w:ascii="Times New Roman" w:hAnsi="Times New Roman"/>
                <w:sz w:val="20"/>
              </w:rPr>
              <w:t>13.1%</w:t>
            </w:r>
          </w:p>
        </w:tc>
        <w:tc>
          <w:tcPr>
            <w:tcW w:type="dxa" w:w="1560"/>
          </w:tcPr>
          <w:p>
            <w:r>
              <w:rPr>
                <w:rFonts w:ascii="Times New Roman" w:hAnsi="Times New Roman"/>
                <w:sz w:val="20"/>
              </w:rPr>
              <w:t>2.6%</w:t>
            </w:r>
          </w:p>
        </w:tc>
      </w:tr>
    </w:tbl>
    <w:p/>
    <w:p>
      <w:r>
        <w:rPr>
          <w:rFonts w:ascii="Times New Roman" w:hAnsi="Times New Roman"/>
          <w:b w:val="0"/>
          <w:i/>
          <w:sz w:val="22"/>
        </w:rPr>
        <w:t>Figure 2. Family-level causal signal across the clinical benchmark. Each cell shows the mean edge-level JSD within a clinical family for a given model. The figure is designed to show whether causal signal is concentrated in selected clinical domains or distributed more broadly across the benchmark.</w:t>
      </w:r>
    </w:p>
    <w:p>
      <w:r>
        <w:rPr>
          <w:rFonts w:ascii="Times New Roman" w:hAnsi="Times New Roman"/>
          <w:b w:val="0"/>
          <w:i/>
          <w:sz w:val="22"/>
        </w:rPr>
        <w:t>Table 2. Signal-to-noise analysis across the five evaluated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Measure</w:t>
            </w:r>
          </w:p>
        </w:tc>
        <w:tc>
          <w:tcPr>
            <w:tcW w:type="dxa" w:w="1560"/>
          </w:tcPr>
          <w:p>
            <w:r>
              <w:rPr>
                <w:rFonts w:ascii="Times New Roman" w:hAnsi="Times New Roman"/>
                <w:b/>
                <w:sz w:val="20"/>
              </w:rPr>
              <w:t>DeepSeek-R1</w:t>
            </w:r>
          </w:p>
        </w:tc>
        <w:tc>
          <w:tcPr>
            <w:tcW w:type="dxa" w:w="1560"/>
          </w:tcPr>
          <w:p>
            <w:r>
              <w:rPr>
                <w:rFonts w:ascii="Times New Roman" w:hAnsi="Times New Roman"/>
                <w:b/>
                <w:sz w:val="20"/>
              </w:rPr>
              <w:t>Kimi K2.5</w:t>
            </w:r>
          </w:p>
        </w:tc>
        <w:tc>
          <w:tcPr>
            <w:tcW w:type="dxa" w:w="1560"/>
          </w:tcPr>
          <w:p>
            <w:r>
              <w:rPr>
                <w:rFonts w:ascii="Times New Roman" w:hAnsi="Times New Roman"/>
                <w:b/>
                <w:sz w:val="20"/>
              </w:rPr>
              <w:t>Qwen3-Next-80B</w:t>
            </w:r>
          </w:p>
        </w:tc>
        <w:tc>
          <w:tcPr>
            <w:tcW w:type="dxa" w:w="1560"/>
          </w:tcPr>
          <w:p>
            <w:r>
              <w:rPr>
                <w:rFonts w:ascii="Times New Roman" w:hAnsi="Times New Roman"/>
                <w:b/>
                <w:sz w:val="20"/>
              </w:rPr>
              <w:t>Mistral-Small-24B</w:t>
            </w:r>
          </w:p>
        </w:tc>
        <w:tc>
          <w:tcPr>
            <w:tcW w:type="dxa" w:w="1560"/>
          </w:tcPr>
          <w:p>
            <w:r>
              <w:rPr>
                <w:rFonts w:ascii="Times New Roman" w:hAnsi="Times New Roman"/>
                <w:b/>
                <w:sz w:val="20"/>
              </w:rPr>
              <w:t>Llama 3.1-8B</w:t>
            </w:r>
          </w:p>
        </w:tc>
      </w:tr>
      <w:tr>
        <w:tc>
          <w:tcPr>
            <w:tcW w:type="dxa" w:w="1560"/>
          </w:tcPr>
          <w:p>
            <w:r>
              <w:rPr>
                <w:rFonts w:ascii="Times New Roman" w:hAnsi="Times New Roman"/>
                <w:sz w:val="20"/>
              </w:rPr>
              <w:t>Mean causal JSD</w:t>
            </w:r>
          </w:p>
        </w:tc>
        <w:tc>
          <w:tcPr>
            <w:tcW w:type="dxa" w:w="1560"/>
          </w:tcPr>
          <w:p>
            <w:r>
              <w:rPr>
                <w:rFonts w:ascii="Times New Roman" w:hAnsi="Times New Roman"/>
                <w:sz w:val="20"/>
              </w:rPr>
              <w:t>0.154</w:t>
            </w:r>
          </w:p>
        </w:tc>
        <w:tc>
          <w:tcPr>
            <w:tcW w:type="dxa" w:w="1560"/>
          </w:tcPr>
          <w:p>
            <w:r>
              <w:rPr>
                <w:rFonts w:ascii="Times New Roman" w:hAnsi="Times New Roman"/>
                <w:sz w:val="20"/>
              </w:rPr>
              <w:t>0.187</w:t>
            </w:r>
          </w:p>
        </w:tc>
        <w:tc>
          <w:tcPr>
            <w:tcW w:type="dxa" w:w="1560"/>
          </w:tcPr>
          <w:p>
            <w:r>
              <w:rPr>
                <w:rFonts w:ascii="Times New Roman" w:hAnsi="Times New Roman"/>
                <w:sz w:val="20"/>
              </w:rPr>
              <w:t>0.103</w:t>
            </w:r>
          </w:p>
        </w:tc>
        <w:tc>
          <w:tcPr>
            <w:tcW w:type="dxa" w:w="1560"/>
          </w:tcPr>
          <w:p>
            <w:r>
              <w:rPr>
                <w:rFonts w:ascii="Times New Roman" w:hAnsi="Times New Roman"/>
                <w:sz w:val="20"/>
              </w:rPr>
              <w:t>0.116</w:t>
            </w:r>
          </w:p>
        </w:tc>
        <w:tc>
          <w:tcPr>
            <w:tcW w:type="dxa" w:w="1560"/>
          </w:tcPr>
          <w:p>
            <w:r>
              <w:rPr>
                <w:rFonts w:ascii="Times New Roman" w:hAnsi="Times New Roman"/>
                <w:sz w:val="20"/>
              </w:rPr>
              <w:t>0.059</w:t>
            </w:r>
          </w:p>
        </w:tc>
      </w:tr>
      <w:tr>
        <w:tc>
          <w:tcPr>
            <w:tcW w:type="dxa" w:w="1560"/>
          </w:tcPr>
          <w:p>
            <w:r>
              <w:rPr>
                <w:rFonts w:ascii="Times New Roman" w:hAnsi="Times New Roman"/>
                <w:sz w:val="20"/>
              </w:rPr>
              <w:t>Mean null JSD</w:t>
            </w:r>
          </w:p>
        </w:tc>
        <w:tc>
          <w:tcPr>
            <w:tcW w:type="dxa" w:w="1560"/>
          </w:tcPr>
          <w:p>
            <w:r>
              <w:rPr>
                <w:rFonts w:ascii="Times New Roman" w:hAnsi="Times New Roman"/>
                <w:sz w:val="20"/>
              </w:rPr>
              <w:t>0.072</w:t>
            </w:r>
          </w:p>
        </w:tc>
        <w:tc>
          <w:tcPr>
            <w:tcW w:type="dxa" w:w="1560"/>
          </w:tcPr>
          <w:p>
            <w:r>
              <w:rPr>
                <w:rFonts w:ascii="Times New Roman" w:hAnsi="Times New Roman"/>
                <w:sz w:val="20"/>
              </w:rPr>
              <w:t>0.076</w:t>
            </w:r>
          </w:p>
        </w:tc>
        <w:tc>
          <w:tcPr>
            <w:tcW w:type="dxa" w:w="1560"/>
          </w:tcPr>
          <w:p>
            <w:r>
              <w:rPr>
                <w:rFonts w:ascii="Times New Roman" w:hAnsi="Times New Roman"/>
                <w:sz w:val="20"/>
              </w:rPr>
              <w:t>0.055</w:t>
            </w:r>
          </w:p>
        </w:tc>
        <w:tc>
          <w:tcPr>
            <w:tcW w:type="dxa" w:w="1560"/>
          </w:tcPr>
          <w:p>
            <w:r>
              <w:rPr>
                <w:rFonts w:ascii="Times New Roman" w:hAnsi="Times New Roman"/>
                <w:sz w:val="20"/>
              </w:rPr>
              <w:t>0.070</w:t>
            </w:r>
          </w:p>
        </w:tc>
        <w:tc>
          <w:tcPr>
            <w:tcW w:type="dxa" w:w="1560"/>
          </w:tcPr>
          <w:p>
            <w:r>
              <w:rPr>
                <w:rFonts w:ascii="Times New Roman" w:hAnsi="Times New Roman"/>
                <w:sz w:val="20"/>
              </w:rPr>
              <w:t>0.074</w:t>
            </w:r>
          </w:p>
        </w:tc>
      </w:tr>
      <w:tr>
        <w:tc>
          <w:tcPr>
            <w:tcW w:type="dxa" w:w="1560"/>
          </w:tcPr>
          <w:p>
            <w:r>
              <w:rPr>
                <w:rFonts w:ascii="Times New Roman" w:hAnsi="Times New Roman"/>
                <w:sz w:val="20"/>
              </w:rPr>
              <w:t>Null 95th percentile</w:t>
            </w:r>
          </w:p>
        </w:tc>
        <w:tc>
          <w:tcPr>
            <w:tcW w:type="dxa" w:w="1560"/>
          </w:tcPr>
          <w:p>
            <w:r>
              <w:rPr>
                <w:rFonts w:ascii="Times New Roman" w:hAnsi="Times New Roman"/>
                <w:sz w:val="20"/>
              </w:rPr>
              <w:t>0.305</w:t>
            </w:r>
          </w:p>
        </w:tc>
        <w:tc>
          <w:tcPr>
            <w:tcW w:type="dxa" w:w="1560"/>
          </w:tcPr>
          <w:p>
            <w:r>
              <w:rPr>
                <w:rFonts w:ascii="Times New Roman" w:hAnsi="Times New Roman"/>
                <w:sz w:val="20"/>
              </w:rPr>
              <w:t>0.275</w:t>
            </w:r>
          </w:p>
        </w:tc>
        <w:tc>
          <w:tcPr>
            <w:tcW w:type="dxa" w:w="1560"/>
          </w:tcPr>
          <w:p>
            <w:r>
              <w:rPr>
                <w:rFonts w:ascii="Times New Roman" w:hAnsi="Times New Roman"/>
                <w:sz w:val="20"/>
              </w:rPr>
              <w:t>0.224</w:t>
            </w:r>
          </w:p>
        </w:tc>
        <w:tc>
          <w:tcPr>
            <w:tcW w:type="dxa" w:w="1560"/>
          </w:tcPr>
          <w:p>
            <w:r>
              <w:rPr>
                <w:rFonts w:ascii="Times New Roman" w:hAnsi="Times New Roman"/>
                <w:sz w:val="20"/>
              </w:rPr>
              <w:t>0.221</w:t>
            </w:r>
          </w:p>
        </w:tc>
        <w:tc>
          <w:tcPr>
            <w:tcW w:type="dxa" w:w="1560"/>
          </w:tcPr>
          <w:p>
            <w:r>
              <w:rPr>
                <w:rFonts w:ascii="Times New Roman" w:hAnsi="Times New Roman"/>
                <w:sz w:val="20"/>
              </w:rPr>
              <w:t>0.328</w:t>
            </w:r>
          </w:p>
        </w:tc>
      </w:tr>
      <w:tr>
        <w:tc>
          <w:tcPr>
            <w:tcW w:type="dxa" w:w="1560"/>
          </w:tcPr>
          <w:p>
            <w:r>
              <w:rPr>
                <w:rFonts w:ascii="Times New Roman" w:hAnsi="Times New Roman"/>
                <w:sz w:val="20"/>
              </w:rPr>
              <w:t>Signal-to-noise ratio</w:t>
            </w:r>
          </w:p>
        </w:tc>
        <w:tc>
          <w:tcPr>
            <w:tcW w:type="dxa" w:w="1560"/>
          </w:tcPr>
          <w:p>
            <w:r>
              <w:rPr>
                <w:rFonts w:ascii="Times New Roman" w:hAnsi="Times New Roman"/>
                <w:sz w:val="20"/>
              </w:rPr>
              <w:t>2.14</w:t>
            </w:r>
          </w:p>
        </w:tc>
        <w:tc>
          <w:tcPr>
            <w:tcW w:type="dxa" w:w="1560"/>
          </w:tcPr>
          <w:p>
            <w:r>
              <w:rPr>
                <w:rFonts w:ascii="Times New Roman" w:hAnsi="Times New Roman"/>
                <w:sz w:val="20"/>
              </w:rPr>
              <w:t>2.46</w:t>
            </w:r>
          </w:p>
        </w:tc>
        <w:tc>
          <w:tcPr>
            <w:tcW w:type="dxa" w:w="1560"/>
          </w:tcPr>
          <w:p>
            <w:r>
              <w:rPr>
                <w:rFonts w:ascii="Times New Roman" w:hAnsi="Times New Roman"/>
                <w:sz w:val="20"/>
              </w:rPr>
              <w:t>1.87</w:t>
            </w:r>
          </w:p>
        </w:tc>
        <w:tc>
          <w:tcPr>
            <w:tcW w:type="dxa" w:w="1560"/>
          </w:tcPr>
          <w:p>
            <w:r>
              <w:rPr>
                <w:rFonts w:ascii="Times New Roman" w:hAnsi="Times New Roman"/>
                <w:sz w:val="20"/>
              </w:rPr>
              <w:t>1.66</w:t>
            </w:r>
          </w:p>
        </w:tc>
        <w:tc>
          <w:tcPr>
            <w:tcW w:type="dxa" w:w="1560"/>
          </w:tcPr>
          <w:p>
            <w:r>
              <w:rPr>
                <w:rFonts w:ascii="Times New Roman" w:hAnsi="Times New Roman"/>
                <w:sz w:val="20"/>
              </w:rPr>
              <w:t>0.80</w:t>
            </w:r>
          </w:p>
        </w:tc>
      </w:tr>
      <w:tr>
        <w:tc>
          <w:tcPr>
            <w:tcW w:type="dxa" w:w="1560"/>
          </w:tcPr>
          <w:p>
            <w:r>
              <w:rPr>
                <w:rFonts w:ascii="Times New Roman" w:hAnsi="Times New Roman"/>
                <w:sz w:val="20"/>
              </w:rPr>
              <w:t>Detection power</w:t>
            </w:r>
          </w:p>
        </w:tc>
        <w:tc>
          <w:tcPr>
            <w:tcW w:type="dxa" w:w="1560"/>
          </w:tcPr>
          <w:p>
            <w:r>
              <w:rPr>
                <w:rFonts w:ascii="Times New Roman" w:hAnsi="Times New Roman"/>
                <w:sz w:val="20"/>
              </w:rPr>
              <w:t>17.3%</w:t>
            </w:r>
          </w:p>
        </w:tc>
        <w:tc>
          <w:tcPr>
            <w:tcW w:type="dxa" w:w="1560"/>
          </w:tcPr>
          <w:p>
            <w:r>
              <w:rPr>
                <w:rFonts w:ascii="Times New Roman" w:hAnsi="Times New Roman"/>
                <w:sz w:val="20"/>
              </w:rPr>
              <w:t>20.7%</w:t>
            </w:r>
          </w:p>
        </w:tc>
        <w:tc>
          <w:tcPr>
            <w:tcW w:type="dxa" w:w="1560"/>
          </w:tcPr>
          <w:p>
            <w:r>
              <w:rPr>
                <w:rFonts w:ascii="Times New Roman" w:hAnsi="Times New Roman"/>
                <w:sz w:val="20"/>
              </w:rPr>
              <w:t>15.6%</w:t>
            </w:r>
          </w:p>
        </w:tc>
        <w:tc>
          <w:tcPr>
            <w:tcW w:type="dxa" w:w="1560"/>
          </w:tcPr>
          <w:p>
            <w:r>
              <w:rPr>
                <w:rFonts w:ascii="Times New Roman" w:hAnsi="Times New Roman"/>
                <w:sz w:val="20"/>
              </w:rPr>
              <w:t>13.1%</w:t>
            </w:r>
          </w:p>
        </w:tc>
        <w:tc>
          <w:tcPr>
            <w:tcW w:type="dxa" w:w="1560"/>
          </w:tcPr>
          <w:p>
            <w:r>
              <w:rPr>
                <w:rFonts w:ascii="Times New Roman" w:hAnsi="Times New Roman"/>
                <w:sz w:val="20"/>
              </w:rPr>
              <w:t>2.6%</w:t>
            </w:r>
          </w:p>
        </w:tc>
      </w:tr>
    </w:tbl>
    <w:p/>
    <w:p>
      <w:r>
        <w:rPr>
          <w:rFonts w:ascii="Times New Roman" w:hAnsi="Times New Roman"/>
          <w:b w:val="0"/>
          <w:i/>
          <w:sz w:val="22"/>
        </w:rPr>
        <w:t>Figure 3. Recovery profile across 58 evaluation edges. Stacked bars separate directionally consistent hard detections, directionally consistent soft detections, wrong-direction recoveries, and missed edges. The figure is intended to make visible the balance between graph breadth, directional error, and outright absence of recovery.</w:t>
      </w:r>
    </w:p>
    <w:p>
      <w:r>
        <w:rPr>
          <w:rFonts w:ascii="Times New Roman" w:hAnsi="Times New Roman"/>
          <w:b w:val="0"/>
          <w:i/>
          <w:sz w:val="22"/>
        </w:rPr>
        <w:t>Figure 4. Summary comparison across Coverage, Fidelity, and Discriminability. Coverage is represented by soft recall. Fidelity combines direction accuracy and 1 minus normalised SID. Discriminability combines SNR and detection power. The figure highlights Kimi’s advantage in graph breadth and noise separation, DeepSeek-R1’s advantage in balance, the intermediate and brittle structure recovered by Qwen3-Next and Mistral-Small, and the qualitatively weaker regime represented by Llama 3.1-8B.</w:t>
      </w:r>
    </w:p>
    <w:p>
      <w:pPr>
        <w:pStyle w:val="Heading1"/>
      </w:pPr>
      <w:r>
        <w:t>Discussion</w:t>
      </w:r>
    </w:p>
    <w:p>
      <w:r>
        <w:rPr>
          <w:rFonts w:ascii="Times New Roman" w:hAnsi="Times New Roman"/>
          <w:b w:val="0"/>
          <w:i w:val="0"/>
          <w:sz w:val="22"/>
        </w:rPr>
        <w:t>This study advances LLM evaluation in two linked ways. Methodologically, it introduces behavioral causal discovery as a practical way to recover an expert-domain behavioral graph from model outputs under controlled intervention. Empirically, it shows that current open-access LLMs do not exhibit complete or clinically reliable world models in this domain, even when evaluated under repeated probing and structured follow-up. Instead, they occupy graded regimes of partial causal competence. That distinction matters clinically because medicine is not organized around average-case pattern matching; it is organized around the exceptions, thresholds, contraindications, and reversals that change what should be done for a specific patient.</w:t>
      </w:r>
    </w:p>
    <w:p>
      <w:r>
        <w:rPr>
          <w:rFonts w:ascii="Times New Roman" w:hAnsi="Times New Roman"/>
          <w:b w:val="0"/>
          <w:i w:val="0"/>
          <w:sz w:val="22"/>
        </w:rPr>
        <w:t>This distinction is important because it clarifies what benchmark success can and cannot show. A model may reproduce guideline-compatible answers on standard tasks while failing to recover the graph structure needed to adapt recommendations appropriately under intervention. That concern is increasingly reflected in recent medical-AI literature.23-27 Our findings extend it by showing that the problem is not only one of answer quality or metacognitive reliability, but of incomplete and model-dependent behavioral structure. Benchmark accuracy and articulated reasoning remain compatible with graph-level inadequacy. Static benchmark accuracy is therefore an insufficient surrogate for clinical readiness: the clinically relevant test is whether recommendations update with the correct causal direction when the case changes.</w:t>
      </w:r>
    </w:p>
    <w:p>
      <w:r>
        <w:rPr>
          <w:rFonts w:ascii="Times New Roman" w:hAnsi="Times New Roman"/>
          <w:b w:val="0"/>
          <w:i w:val="0"/>
          <w:sz w:val="22"/>
        </w:rPr>
        <w:t>The five-model comparison also suggests that frontier progress is not one-dimensional. Kimi K2.5 showed the broadest behavioral graph and the strongest causal-versus-noise separation. DeepSeek-R1 recovered a somewhat smaller graph but with cleaner directional fidelity and stronger overall balance across coverage, fidelity, discriminability, and stability. Qwen3-Next-80B and Mistral-Small-24B demonstrated that meaningful causal structure can emerge below the frontier tier, but their graphs remained directionally brittle. Llama 3.1-8B served as an informative lower bound: it was not entirely unresponsive, but its low coverage and SNR below 1.0 indicate a system that cannot reliably distinguish causal signal from irrelevant perturbation.</w:t>
      </w:r>
    </w:p>
    <w:p>
      <w:r>
        <w:rPr>
          <w:rFonts w:ascii="Times New Roman" w:hAnsi="Times New Roman"/>
          <w:b w:val="0"/>
          <w:i w:val="0"/>
          <w:sz w:val="22"/>
        </w:rPr>
        <w:t>These profiles also suggest a clinically important asymmetry: partial world-model competence may be more clinically misleading than obvious failure. A graph-empty model is easier to identify as non-deployable. A partially competent model can be locally correct often enough to invite trust while remaining brittle in the edge cases that reverse treatment logic. In that setting, apparent sophistication may increase the risk of over-reliance.</w:t>
      </w:r>
    </w:p>
    <w:p>
      <w:r>
        <w:rPr>
          <w:rFonts w:ascii="Times New Roman" w:hAnsi="Times New Roman"/>
          <w:b w:val="0"/>
          <w:i w:val="0"/>
          <w:sz w:val="22"/>
        </w:rPr>
        <w:t>These results support a more disciplined operational use of the term “world model.” We do not claim to prove or disprove the existence of rich internal simulations in a philosophical sense. Rather, we define world-model competence behaviorally: if a model encodes clinically meaningful causal structure, controlled perturbations should recover a graph that is broad enough, directionally faithful enough, and sufficiently separated from noise to support reliable intervention-sensitive reasoning. On that operational definition, the evaluated models show partial and heterogeneous world-model competence, not expert-grade causal mastery. For the broader world-model agenda, this matters because it offers an externalist test of causal structure: not whether a model can talk about causality, but whether intervention recovers a coherent behavioral graph.</w:t>
      </w:r>
    </w:p>
    <w:p>
      <w:pPr>
        <w:pStyle w:val="Heading1"/>
      </w:pPr>
      <w:r>
        <w:t>Clinical Implications</w:t>
      </w:r>
    </w:p>
    <w:p>
      <w:r>
        <w:rPr>
          <w:rFonts w:ascii="Times New Roman" w:hAnsi="Times New Roman"/>
          <w:b w:val="0"/>
          <w:i w:val="0"/>
          <w:sz w:val="22"/>
        </w:rPr>
        <w:t>For clinical AI, the immediate implication is that static benchmark success should not be treated as adequate evidence for deployment in decision support. A model may look competent in familiar cases yet remain causally brittle when exposed to contraindications, gray zones, or convergent risk factors. In that setting, human oversight may not fully mitigate the risk. If the model’s causal structure is unreliable, the clinician must effectively reconstruct the treatment logic from first principles rather than verify a dependable recommendation. The system may then function less as decision support and more as a source of anchoring or misplaced confidence.</w:t>
      </w:r>
    </w:p>
    <w:p>
      <w:r>
        <w:rPr>
          <w:rFonts w:ascii="Times New Roman" w:hAnsi="Times New Roman"/>
          <w:b w:val="0"/>
          <w:i w:val="0"/>
          <w:sz w:val="22"/>
        </w:rPr>
        <w:t>The practical value of the present framework is that it decomposes failure into actionable components. Coverage identifies missing causal pathways. Fidelity identifies wrong-direction or no-shift errors. Discriminability identifies models whose outputs are insufficiently separated from behavioral noise. These are different failure modes with different remediation strategies. Clinically, a wrong-direction update may be more consequential than silence, because it preserves the appearance of structured reasoning while moving the recommendation in the wrong direction.</w:t>
      </w:r>
    </w:p>
    <w:p>
      <w:r>
        <w:rPr>
          <w:rFonts w:ascii="Times New Roman" w:hAnsi="Times New Roman"/>
          <w:b w:val="0"/>
          <w:i w:val="0"/>
          <w:sz w:val="22"/>
        </w:rPr>
        <w:t>The framework also offers a way to target improvement. Edge-level failures and SID decompositions can guide retrieval augmentation, structured knowledge injection, family-specific prompting, or fine-tuning on clinically consequential perturbation pairs rather than on undifferentiated answer corpora. More broadly, the same externalist evaluation logic can be exported beyond oncology wherever a consensus-derived or guideline-derived causal structure can be operationalised into a perturbation battery.</w:t>
      </w:r>
    </w:p>
    <w:p>
      <w:pPr>
        <w:pStyle w:val="Heading1"/>
      </w:pPr>
      <w:r>
        <w:t>Limitations</w:t>
      </w:r>
    </w:p>
    <w:p>
      <w:r>
        <w:rPr>
          <w:rFonts w:ascii="Times New Roman" w:hAnsi="Times New Roman"/>
          <w:b w:val="0"/>
          <w:i w:val="0"/>
          <w:sz w:val="22"/>
        </w:rPr>
        <w:t>This study has several limitations. First, it evaluates one domain: head and neck oncology. The generality of the findings to other medical specialties and non-medical expert domains requires direct testing. Second, the benchmark audit identified family-specific query-space undercoverage for some concrete labels, meaning that the structured menus did not exhaustively probe every treatment label represented in the battery. We mitigated this by retaining Phase 1 open-ended elicitation and deterministic aggregate-label derivation, but the remaining undercoverage should still temper interpretation of some per-label results. Third, the evaluation is behavioral rather than mechanistic; it infers latent structure from repeated output shifts rather than from internal activations or weight-space analyses. Fourth, the models differ in size, training data, architecture, and reasoning scaffolding, so the observed ordering should not be attributed to any single design variable. Fifth, the four repaired rows in the Llama arm were re-queried with Meta-Llama-3-8B-Instruct-Lite because Together no longer exposed the original 3.1 turbo endpoint serverlessly during the repair pass.</w:t>
      </w:r>
    </w:p>
    <w:p>
      <w:pPr>
        <w:pStyle w:val="Heading1"/>
      </w:pPr>
      <w:r>
        <w:t>Future Directions</w:t>
      </w:r>
    </w:p>
    <w:p>
      <w:r>
        <w:rPr>
          <w:rFonts w:ascii="Times New Roman" w:hAnsi="Times New Roman"/>
          <w:b w:val="0"/>
          <w:i w:val="0"/>
          <w:sz w:val="22"/>
        </w:rPr>
        <w:t>Several extensions follow directly from these results. The first is external validation in additional domains, especially domains with clearer procedural counterfactuals or richer longitudinal structure. The second is intervention on the models themselves: retrieval-augmented, instruction-tuned, or knowledge-injected variants should be tested to determine whether missing edges reflect absent latent structure or merely inaccessible latent structure. The third is benchmark evolution. Future batteries should make the family-specific structured menus exhaustive wherever possible and should support larger real-output parser audits on the highest-ambiguity treatment families. Finally, the framework can be extended beyond pairwise perturbation testing to longer-horizon sequential planning settings, where a clinically meaningful world model should support counterfactual adaptation over multiple dependent steps.</w:t>
      </w:r>
    </w:p>
    <w:p>
      <w:pPr>
        <w:pStyle w:val="Heading1"/>
      </w:pPr>
      <w:r>
        <w:t>Conclusions</w:t>
      </w:r>
    </w:p>
    <w:p>
      <w:r>
        <w:rPr>
          <w:rFonts w:ascii="Times New Roman" w:hAnsi="Times New Roman"/>
          <w:b w:val="0"/>
          <w:i w:val="0"/>
          <w:sz w:val="22"/>
        </w:rPr>
        <w:t>Across five open-access models, no LLM exhibited a complete or clinically reliable world model for specialized head and neck oncology decision-making. Kimi K2.5 showed the broadest graph recovery and strongest causal-versus-noise separation. DeepSeek-R1 showed the strongest overall balance of coverage and fidelity. Qwen3-Next-80B and Mistral-Small-24B occupied an intermediate regime of partial but brittle causal structure. Llama 3.1-8B remained fragmentary and insufficiently discriminative. Because treatment decisions hinge on case-specific exceptions rather than average patterns, a clinically useful model must adapt recommendations in the correct causal direction when the case changes. Behavioral causal discovery, coupled with the three-dimensional framework of Coverage, Fidelity, and Discriminability, provides a more clinically meaningful and scientifically defensible basis for evaluating that capability than benchmark accuracy alone.</w:t>
      </w:r>
    </w:p>
    <w:p>
      <w:r>
        <w:br w:type="page"/>
      </w:r>
    </w:p>
    <w:p>
      <w:pPr>
        <w:pStyle w:val="Heading1"/>
      </w:pPr>
      <w:r>
        <w:t>References</w:t>
      </w:r>
    </w:p>
    <w:p>
      <w:r>
        <w:rPr>
          <w:rFonts w:ascii="Times New Roman" w:hAnsi="Times New Roman"/>
          <w:b w:val="0"/>
          <w:i w:val="0"/>
          <w:sz w:val="22"/>
        </w:rPr>
        <w:t>1. Craik KJW. The Nature of Explanation. Cambridge University Press; 1943.</w:t>
      </w:r>
    </w:p>
    <w:p>
      <w:r>
        <w:rPr>
          <w:rFonts w:ascii="Times New Roman" w:hAnsi="Times New Roman"/>
          <w:b w:val="0"/>
          <w:i w:val="0"/>
          <w:sz w:val="22"/>
        </w:rPr>
        <w:t>2. Lake BM, Ullman TD, Tenenbaum JB, Gershman SJ. Building machines that learn and think like people. Behav Brain Sci. 2017;40:e253.</w:t>
      </w:r>
    </w:p>
    <w:p>
      <w:r>
        <w:rPr>
          <w:rFonts w:ascii="Times New Roman" w:hAnsi="Times New Roman"/>
          <w:b w:val="0"/>
          <w:i w:val="0"/>
          <w:sz w:val="22"/>
        </w:rPr>
        <w:t>3. Singhal K, Azizi S, Tu T, et al. Large language models encode clinical knowledge. Nature. 2023;620(7972):172-180.</w:t>
      </w:r>
    </w:p>
    <w:p>
      <w:r>
        <w:rPr>
          <w:rFonts w:ascii="Times New Roman" w:hAnsi="Times New Roman"/>
          <w:b w:val="0"/>
          <w:i w:val="0"/>
          <w:sz w:val="22"/>
        </w:rPr>
        <w:t>4. Nori H, King N, McKinney SM, Carignan D, Horvitz E. Capabilities of GPT-4 on medical competency examinations. arXiv. 2023;2303.13375.</w:t>
      </w:r>
    </w:p>
    <w:p>
      <w:r>
        <w:rPr>
          <w:rFonts w:ascii="Times New Roman" w:hAnsi="Times New Roman"/>
          <w:b w:val="0"/>
          <w:i w:val="0"/>
          <w:sz w:val="22"/>
        </w:rPr>
        <w:t>5. Thirunavukarasu AJ, Ting DSJ, Elangovan K, et al. Large language models in medicine. Nat Med. 2023;29(8):1930-1940.</w:t>
      </w:r>
    </w:p>
    <w:p>
      <w:r>
        <w:rPr>
          <w:rFonts w:ascii="Times New Roman" w:hAnsi="Times New Roman"/>
          <w:b w:val="0"/>
          <w:i w:val="0"/>
          <w:sz w:val="22"/>
        </w:rPr>
        <w:t>6. Sim Y, Chen Y-S. Critique of impure reason: unveiling the reasoning behaviour of medical large language models. eLife. 2024;13:RP100563.</w:t>
      </w:r>
    </w:p>
    <w:p>
      <w:r>
        <w:rPr>
          <w:rFonts w:ascii="Times New Roman" w:hAnsi="Times New Roman"/>
          <w:b w:val="0"/>
          <w:i w:val="0"/>
          <w:sz w:val="22"/>
        </w:rPr>
        <w:t>7. Gao J, Yoon J, Kim Y. Assessment of large language models in clinical reasoning: a novel benchmarking study. NEJM AI. 2024;1(11):AIoa2400556.</w:t>
      </w:r>
    </w:p>
    <w:p>
      <w:r>
        <w:rPr>
          <w:rFonts w:ascii="Times New Roman" w:hAnsi="Times New Roman"/>
          <w:b w:val="0"/>
          <w:i w:val="0"/>
          <w:sz w:val="22"/>
        </w:rPr>
        <w:t>8. Topol EJ. High-performance medicine: the convergence of human and artificial intelligence. Nat Med. 2019;25(1):44-56.</w:t>
      </w:r>
    </w:p>
    <w:p>
      <w:r>
        <w:rPr>
          <w:rFonts w:ascii="Times New Roman" w:hAnsi="Times New Roman"/>
          <w:b w:val="0"/>
          <w:i w:val="0"/>
          <w:sz w:val="22"/>
        </w:rPr>
        <w:t>9. Rajpurkar P, Chen E, Banerjee O, Topol EJ. AI in health and medicine. Nat Med. 2022;28(1):31-38.</w:t>
      </w:r>
    </w:p>
    <w:p>
      <w:r>
        <w:rPr>
          <w:rFonts w:ascii="Times New Roman" w:hAnsi="Times New Roman"/>
          <w:b w:val="0"/>
          <w:i w:val="0"/>
          <w:sz w:val="22"/>
        </w:rPr>
        <w:t>10. Chen W, Zhang Y, Li X, et al. Unveiling causal reasoning in large language models: reality or mirage? arXiv. 2025;2506.20449.</w:t>
      </w:r>
    </w:p>
    <w:p>
      <w:r>
        <w:rPr>
          <w:rFonts w:ascii="Times New Roman" w:hAnsi="Times New Roman"/>
          <w:b w:val="0"/>
          <w:i w:val="0"/>
          <w:sz w:val="22"/>
        </w:rPr>
        <w:t>11. Ferrari M, Taboni S, Caversaccio MD, et al. International consensus on laryngeal preservation strategies in laryngeal and hypopharyngeal cancer: a Delphi study. Lancet Oncol. 2025;26(2):e100-e112.</w:t>
      </w:r>
    </w:p>
    <w:p>
      <w:r>
        <w:rPr>
          <w:rFonts w:ascii="Times New Roman" w:hAnsi="Times New Roman"/>
          <w:b w:val="0"/>
          <w:i w:val="0"/>
          <w:sz w:val="22"/>
        </w:rPr>
        <w:t>12. Pearl J. Causality: Models, Reasoning, and Inference. 2nd ed. Cambridge University Press; 2009.</w:t>
      </w:r>
    </w:p>
    <w:p>
      <w:r>
        <w:rPr>
          <w:rFonts w:ascii="Times New Roman" w:hAnsi="Times New Roman"/>
          <w:b w:val="0"/>
          <w:i w:val="0"/>
          <w:sz w:val="22"/>
        </w:rPr>
        <w:t>13. Peters J, Buhlmann P. Structural intervention distance for evaluating causal graphs. Neural Comput. 2015;27(3):771-799.</w:t>
      </w:r>
    </w:p>
    <w:p>
      <w:r>
        <w:rPr>
          <w:rFonts w:ascii="Times New Roman" w:hAnsi="Times New Roman"/>
          <w:b w:val="0"/>
          <w:i w:val="0"/>
          <w:sz w:val="22"/>
        </w:rPr>
        <w:t>14. Hammond KR. Human Judgment and Social Policy: Irreducible Uncertainty, Inevitable Error, Unavoidable Injustice. Oxford University Press; 1996.</w:t>
      </w:r>
    </w:p>
    <w:p>
      <w:r>
        <w:rPr>
          <w:rFonts w:ascii="Times New Roman" w:hAnsi="Times New Roman"/>
          <w:b w:val="0"/>
          <w:i w:val="0"/>
          <w:sz w:val="22"/>
        </w:rPr>
        <w:t>15. Tripathi S, Amin K, Bera K, et al. Development, evaluation, and assessment of large language models (DEAL) checklist: a framework for LLM studies in medicine. NEJM AI. 2024;1(4):AIp2400064.</w:t>
      </w:r>
    </w:p>
    <w:p>
      <w:r>
        <w:rPr>
          <w:rFonts w:ascii="Times New Roman" w:hAnsi="Times New Roman"/>
          <w:b w:val="0"/>
          <w:i w:val="0"/>
          <w:sz w:val="22"/>
        </w:rPr>
        <w:t>16. Tenenbaum JB, Kemp C, Griffiths TL, Goodman ND. How to grow a mind: statistics, structure, and abstraction. Science. 2011;331(6022):1279-1285.</w:t>
      </w:r>
    </w:p>
    <w:p>
      <w:r>
        <w:rPr>
          <w:rFonts w:ascii="Times New Roman" w:hAnsi="Times New Roman"/>
          <w:b w:val="0"/>
          <w:i w:val="0"/>
          <w:sz w:val="22"/>
        </w:rPr>
        <w:t>17. Cabitza F, Campagner A, Balsano C. Bridging the “last mile” gap between AI implementation and operation: “data awareness” that matters. Ann Transl Med. 2020;8(7):501.</w:t>
      </w:r>
    </w:p>
    <w:p>
      <w:r>
        <w:rPr>
          <w:rFonts w:ascii="Times New Roman" w:hAnsi="Times New Roman"/>
          <w:b w:val="0"/>
          <w:i w:val="0"/>
          <w:sz w:val="22"/>
        </w:rPr>
        <w:t>18. Kompa B, Snoek J, Beam AL. Second opinion needed: communicating uncertainty in medical machine learning. NPJ Digit Med. 2021;4(1):4.</w:t>
      </w:r>
    </w:p>
    <w:p>
      <w:r>
        <w:rPr>
          <w:rFonts w:ascii="Times New Roman" w:hAnsi="Times New Roman"/>
          <w:b w:val="0"/>
          <w:i w:val="0"/>
          <w:sz w:val="22"/>
        </w:rPr>
        <w:t>19. Sun R, Zhang L, Zheng W, Li Y. How reliable are LLMs as knowledge bases? Re-thinking factuality and consistency. arXiv. 2024;2407.01886.</w:t>
      </w:r>
    </w:p>
    <w:p>
      <w:r>
        <w:rPr>
          <w:rFonts w:ascii="Times New Roman" w:hAnsi="Times New Roman"/>
          <w:b w:val="0"/>
          <w:i w:val="0"/>
          <w:sz w:val="22"/>
        </w:rPr>
        <w:t>20. Fierro C, Torrent M, Saeed A, Moens M-F. Knowledge-based consistency testing of large language models. arXiv. 2024;2407.12830.</w:t>
      </w:r>
    </w:p>
    <w:p>
      <w:r>
        <w:rPr>
          <w:rFonts w:ascii="Times New Roman" w:hAnsi="Times New Roman"/>
          <w:b w:val="0"/>
          <w:i w:val="0"/>
          <w:sz w:val="22"/>
        </w:rPr>
        <w:t>21. Miao B, Szolovits P, McDuff D. The minimum information about clinical artificial intelligence checklist for generative modeling research (MI-CLAIM-GEN). Nat Med. 2024;30:2733-2735.</w:t>
      </w:r>
    </w:p>
    <w:p>
      <w:r>
        <w:rPr>
          <w:rFonts w:ascii="Times New Roman" w:hAnsi="Times New Roman"/>
          <w:b w:val="0"/>
          <w:i w:val="0"/>
          <w:sz w:val="22"/>
        </w:rPr>
        <w:t>22. Norgeot B, Glicksberg BS, Butte AJ, et al. Minimum information about clinical artificial intelligence modeling: the MI-CLAIM checklist. Nat Med. 2020;26(9):1320-1324.</w:t>
      </w:r>
    </w:p>
    <w:p>
      <w:r>
        <w:rPr>
          <w:rFonts w:ascii="Times New Roman" w:hAnsi="Times New Roman"/>
          <w:b w:val="0"/>
          <w:i w:val="0"/>
          <w:sz w:val="22"/>
        </w:rPr>
        <w:t>23. Agrawal M, Chen IY, Gulamali F, Joshi S. The evaluation illusion of large language models in medicine. NPJ Digit Med. 2025;8(1). doi:10.1038/s41746-025-01963-x.</w:t>
      </w:r>
    </w:p>
    <w:p>
      <w:r>
        <w:rPr>
          <w:rFonts w:ascii="Times New Roman" w:hAnsi="Times New Roman"/>
          <w:b w:val="0"/>
          <w:i w:val="0"/>
          <w:sz w:val="22"/>
        </w:rPr>
        <w:t>24. Griot M, Hemptinne C, Vanderdonckt J, Yuksel D. Large language models lack essential metacognition for reliable medical reasoning. Nat Commun. 2025;16(1). doi:10.1038/s41467-024-55628-6.</w:t>
      </w:r>
    </w:p>
    <w:p>
      <w:r>
        <w:rPr>
          <w:rFonts w:ascii="Times New Roman" w:hAnsi="Times New Roman"/>
          <w:b w:val="0"/>
          <w:i w:val="0"/>
          <w:sz w:val="22"/>
        </w:rPr>
        <w:t>25. Kim J, Podlasek A, Shidara K, Liu F, Alaa A, Bernardo D. Limitations of large language models in clinical problem-solving arising from inflexible reasoning. Sci Rep. 2025;15(1). doi:10.1038/s41598-025-22940-0.</w:t>
      </w:r>
    </w:p>
    <w:p>
      <w:r>
        <w:rPr>
          <w:rFonts w:ascii="Times New Roman" w:hAnsi="Times New Roman"/>
          <w:b w:val="0"/>
          <w:i w:val="0"/>
          <w:sz w:val="22"/>
        </w:rPr>
        <w:t>26. Zhou S, Xie W, Li J, Zhan Z, Song M, Yang H. Automating expert-level medical reasoning evaluation of large language models. NPJ Digit Med. 2025;9(1). doi:10.1038/s41746-025-02208-7.</w:t>
      </w:r>
    </w:p>
    <w:p>
      <w:r>
        <w:rPr>
          <w:rFonts w:ascii="Times New Roman" w:hAnsi="Times New Roman"/>
          <w:b w:val="0"/>
          <w:i w:val="0"/>
          <w:sz w:val="22"/>
        </w:rPr>
        <w:t>27. Bedi S, Jiang Y, Chung P, Koyejo S, Shah N. Fidelity of medical reasoning in large language models. JAMA Netw Open. 2025;8(8):e2526021. doi:10.1001/jamanetworkopen.2025.26021.</w:t>
      </w:r>
    </w:p>
    <w:p>
      <w:r>
        <w:rPr>
          <w:rFonts w:ascii="Times New Roman" w:hAnsi="Times New Roman"/>
          <w:b w:val="0"/>
          <w:i w:val="0"/>
          <w:sz w:val="22"/>
        </w:rPr>
        <w:t>28. Chi H, Li H, Yang W, et al. Unveiling causal reasoning in large language models: reality or mirage? arXiv. 2025;2506.21215.</w:t>
      </w:r>
    </w:p>
    <w:p>
      <w:r>
        <w:rPr>
          <w:rFonts w:ascii="Times New Roman" w:hAnsi="Times New Roman"/>
          <w:b w:val="0"/>
          <w:i w:val="0"/>
          <w:sz w:val="22"/>
        </w:rPr>
        <w:t>29. Singhal K, Tu T, Gottweis J, et al. Toward expert-level medical question answering with large language models. Nat Med. 2025;31(3):943-950. doi:10.1038/s41591-024-03423-7.</w:t>
      </w:r>
    </w:p>
    <w:p>
      <w:r>
        <w:br w:type="page"/>
      </w:r>
    </w:p>
    <w:p>
      <w:pPr>
        <w:pStyle w:val="Heading1"/>
      </w:pPr>
      <w:r>
        <w:t>Appendix: Representative Vignette Families</w:t>
      </w:r>
    </w:p>
    <w:p>
      <w:r>
        <w:rPr>
          <w:rFonts w:ascii="Times New Roman" w:hAnsi="Times New Roman"/>
          <w:b w:val="0"/>
          <w:i w:val="0"/>
          <w:sz w:val="22"/>
        </w:rPr>
        <w:t>The final supplementary package contains the full vignette battery, the KG1 traceability matrix, the benchmark-audit report, the parser-validation report, and the per-model parsed outputs for the complete five-model dataset. This appendix highlights four representative vignette families chosen to illustrate different aspects of the behavioral causal discovery framework.</w:t>
      </w:r>
    </w:p>
    <w:p>
      <w:r>
        <w:rPr>
          <w:rFonts w:ascii="Times New Roman" w:hAnsi="Times New Roman"/>
          <w:b w:val="0"/>
          <w:i w:val="0"/>
          <w:sz w:val="22"/>
        </w:rPr>
        <w:t>1. Access-dependent transoral surgery (A1-P1)</w:t>
      </w:r>
    </w:p>
    <w:p>
      <w:r>
        <w:rPr>
          <w:rFonts w:ascii="Times New Roman" w:hAnsi="Times New Roman"/>
          <w:b w:val="0"/>
          <w:i w:val="0"/>
          <w:sz w:val="22"/>
        </w:rPr>
        <w:t>Baseline case A1-BASE represents favourable cT2 glottic disease with adequate laryngeal exposure. Perturbation A1-P1 switches only laryngeal exposure from adequate to insufficient. The gold-standard expectation is that TLM should become inappropriate while non-transoral options remain available. This vignette family tests whether the recovered graph can represent a local access constraint rather than a global treatment collapse.</w:t>
      </w:r>
    </w:p>
    <w:p>
      <w:r>
        <w:rPr>
          <w:rFonts w:ascii="Times New Roman" w:hAnsi="Times New Roman"/>
          <w:b w:val="0"/>
          <w:i w:val="0"/>
          <w:sz w:val="22"/>
        </w:rPr>
        <w:t>2. Global failure of conservative surgery (B1-P8)</w:t>
      </w:r>
    </w:p>
    <w:p>
      <w:r>
        <w:rPr>
          <w:rFonts w:ascii="Times New Roman" w:hAnsi="Times New Roman"/>
          <w:b w:val="0"/>
          <w:i w:val="0"/>
          <w:sz w:val="22"/>
        </w:rPr>
        <w:t>Perturbation B1-P8 introduces bilateral arytenoid fixation into a cT3 glottic baseline. The gold-standard consequence is a shift away from conservative surgery toward total laryngectomy and non-surgical organ-preservation alternatives. This family probes whether the model can recognise a structural threshold crossing rather than a small preference adjustment.</w:t>
      </w:r>
    </w:p>
    <w:p>
      <w:r>
        <w:rPr>
          <w:rFonts w:ascii="Times New Roman" w:hAnsi="Times New Roman"/>
          <w:b w:val="0"/>
          <w:i w:val="0"/>
          <w:sz w:val="22"/>
        </w:rPr>
        <w:t>3. Post-induction chemotherapy response (H1-P3 and H1-P4)</w:t>
      </w:r>
    </w:p>
    <w:p>
      <w:r>
        <w:rPr>
          <w:rFonts w:ascii="Times New Roman" w:hAnsi="Times New Roman"/>
          <w:b w:val="0"/>
          <w:i w:val="0"/>
          <w:sz w:val="22"/>
        </w:rPr>
        <w:t>The H1 family evaluates whether the model updates treatment strategy after induction chemotherapy according to response category. Stable disease and progression should move the graph toward total laryngectomy and away from radiotherapy-alone strategies. These cases are useful because they test intervention-sensitive adaptation over time rather than a static baseline recommendation.</w:t>
      </w:r>
    </w:p>
    <w:p>
      <w:r>
        <w:rPr>
          <w:rFonts w:ascii="Times New Roman" w:hAnsi="Times New Roman"/>
          <w:b w:val="0"/>
          <w:i w:val="0"/>
          <w:sz w:val="22"/>
        </w:rPr>
        <w:t>4. Systemic-treatment ineligibility and fallback structure (G1-ABS11)</w:t>
      </w:r>
    </w:p>
    <w:p>
      <w:r>
        <w:rPr>
          <w:rFonts w:ascii="Times New Roman" w:hAnsi="Times New Roman"/>
          <w:b w:val="0"/>
          <w:i w:val="0"/>
          <w:sz w:val="22"/>
        </w:rPr>
        <w:t>Perturbation G1-ABS11 probes the fallback regime when cisplatin and other systemic intensification options are no longer viable. This family is informative because it concentrates several of the benchmark’s query-space limitations and because it exposes clinically important disagreements about fallback non-surgical larynx-preservation strategies.</w:t>
      </w:r>
    </w:p>
    <w:p>
      <w:r>
        <w:rPr>
          <w:rFonts w:ascii="Times New Roman" w:hAnsi="Times New Roman"/>
          <w:b w:val="0"/>
          <w:i w:val="0"/>
          <w:sz w:val="22"/>
        </w:rPr>
        <w:t>For case-level review, the final benchmark and parser lock artifacts should be considered the authoritative supplementary sources:</w:t>
      </w:r>
    </w:p>
    <w:p>
      <w:r>
        <w:rPr>
          <w:rFonts w:ascii="Times New Roman" w:hAnsi="Times New Roman"/>
          <w:b w:val="0"/>
          <w:i w:val="0"/>
          <w:sz w:val="22"/>
        </w:rPr>
        <w:t>- `docs/review/final_benchmark_lock/`</w:t>
      </w:r>
    </w:p>
    <w:p>
      <w:r>
        <w:rPr>
          <w:rFonts w:ascii="Times New Roman" w:hAnsi="Times New Roman"/>
          <w:b w:val="0"/>
          <w:i w:val="0"/>
          <w:sz w:val="22"/>
        </w:rPr>
        <w:t>- `results/parser_validation/article-metrics-5models-final/`</w:t>
      </w:r>
    </w:p>
    <w:p>
      <w:r>
        <w:rPr>
          <w:rFonts w:ascii="Times New Roman" w:hAnsi="Times New Roman"/>
          <w:b w:val="0"/>
          <w:i w:val="0"/>
          <w:sz w:val="22"/>
        </w:rPr>
        <w:t>- `results/analysis/article-metrics-5models-final/`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