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2B5797"/>
          <w:sz w:val="40"/>
          <w:szCs w:val="40"/>
        </w:rPr>
        <w:t xml:space="preserve">Causal Sensitivity Analysis Report</w:t>
      </w:r>
    </w:p>
    <w:p>
      <w:pPr>
        <w:spacing w:after="80"/>
        <w:jc w:val="center"/>
      </w:pPr>
      <w:r>
        <w:rPr>
          <w:rFonts w:ascii="Arial" w:cs="Arial" w:eastAsia="Arial" w:hAnsi="Arial"/>
          <w:color w:val="555555"/>
          <w:sz w:val="28"/>
          <w:szCs w:val="28"/>
        </w:rPr>
        <w:t xml:space="preserve">Llama 3.1-8B-Instruct-Turbo</w:t>
      </w:r>
    </w:p>
    <w:p>
      <w:pPr>
        <w:spacing w:after="80"/>
        <w:jc w:val="center"/>
      </w:pPr>
      <w:r>
        <w:rPr>
          <w:rFonts w:ascii="Arial" w:cs="Arial" w:eastAsia="Arial" w:hAnsi="Arial"/>
          <w:color w:val="777777"/>
          <w:sz w:val="22"/>
          <w:szCs w:val="22"/>
        </w:rPr>
        <w:t xml:space="preserve">Counterfactual Vignette Battery for Head &amp; Neck Oncology</w:t>
      </w:r>
    </w:p>
    <w:p>
      <w:pPr>
        <w:spacing w:after="400"/>
        <w:jc w:val="center"/>
      </w:pPr>
      <w:r>
        <w:rPr>
          <w:rFonts w:ascii="Arial" w:cs="Arial" w:eastAsia="Arial" w:hAnsi="Arial"/>
          <w:color w:val="999999"/>
          <w:sz w:val="20"/>
          <w:szCs w:val="20"/>
        </w:rPr>
        <w:t xml:space="preserve">March 9, 2026</w:t>
      </w:r>
    </w:p>
    <w:p>
      <w:pPr>
        <w:pStyle w:val="Heading1"/>
      </w:pPr>
      <w:r>
        <w:t xml:space="preserve">Executive Summary</w:t>
      </w:r>
    </w:p>
    <w:p>
      <w:pPr>
        <w:spacing w:after="120"/>
      </w:pPr>
      <w:r>
        <w:t xml:space="preserve">This report presents the results of a behavioural causal discovery analysis of </w:t>
      </w:r>
      <w:r>
        <w:rPr>
          <w:b/>
          <w:bCs/>
        </w:rPr>
        <w:t xml:space="preserve">Meta-Llama-3.1-8B-Instruct-Turbo</w:t>
      </w:r>
      <w:r>
        <w:t xml:space="preserve"> using a 88-item counterfactual vignette battery covering 10 clinical families and 57 expert-consensus edges (Ferrari et al. Delphi study) in head and neck oncology decision-making.</w:t>
      </w:r>
    </w:p>
    <w:p>
      <w:pPr>
        <w:spacing w:after="120"/>
      </w:pPr>
      <w:r>
        <w:t xml:space="preserve">The model was queried 30 times per vignette (N=2,639 successful responses out of 2,640 attempts; 99.96% completion rate) at temperature 0.6 via the Together.ai API, using a two-phase prompting protocol (open-ended reasoning followed by structured treatment labelling).</w:t>
      </w:r>
    </w:p>
    <w:p>
      <w:pPr>
        <w:spacing w:after="200"/>
      </w:pPr>
      <w:r>
        <w:t xml:space="preserve">The core finding is that Llama 3.1-8B exhibits a </w:t>
      </w:r>
      <w:r>
        <w:rPr>
          <w:b/>
          <w:bCs/>
        </w:rPr>
        <w:t xml:space="preserve">strong recommendation bias</w:t>
      </w:r>
      <w:r>
        <w:t xml:space="preserve"> (76.7% of all treatment stances are </w:t>
      </w:r>
      <w:r>
        <w:rPr>
          <w:i/>
          <w:iCs/>
        </w:rPr>
        <w:t xml:space="preserve">recommended</w:t>
      </w:r>
      <w:r>
        <w:t xml:space="preserve">) and </w:t>
      </w:r>
      <w:r>
        <w:rPr>
          <w:b/>
          <w:bCs/>
        </w:rPr>
        <w:t xml:space="preserve">near-zero causal sensitivity</w:t>
      </w:r>
      <w:r>
        <w:t xml:space="preserve"> to clinically critical perturbations. Of 339 edge tests, only 13 (3.8%) reached statistical significance after Benjamini-Hochberg FDR correction. In 63.6% of perturbation-treatment pairs where a directional shift was expected, the model showed less than 5% change in recommendation rate.</w:t>
      </w:r>
    </w:p>
    <w:p>
      <w:pPr>
        <w:pStyle w:val="Heading2"/>
      </w:pPr>
      <w:r>
        <w:t xml:space="preserve">Key Metrics at a Glance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4040"/>
      </w:tblGrid>
      <w:tr>
        <w:tc>
          <w:tcPr>
            <w:tcW w:type="dxa" w:w="32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jc w:val="left"/>
            </w:pPr>
            <w:r>
              <w:rPr>
                <w:rFonts w:ascii="Arial" w:cs="Arial" w:eastAsia="Arial" w:hAnsi="Arial"/>
                <w:b/>
                <w:bCs/>
                <w:color w:val="FFFFFF"/>
                <w:sz w:val="18"/>
                <w:szCs w:val="18"/>
              </w:rPr>
              <w:t xml:space="preserve">Metric</w:t>
            </w:r>
          </w:p>
        </w:tc>
        <w:tc>
          <w:tcPr>
            <w:tcW w:type="dxa" w:w="26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jc w:val="left"/>
            </w:pPr>
            <w:r>
              <w:rPr>
                <w:rFonts w:ascii="Arial" w:cs="Arial" w:eastAsia="Arial" w:hAnsi="Arial"/>
                <w:b/>
                <w:bCs/>
                <w:color w:val="FFFFFF"/>
                <w:sz w:val="18"/>
                <w:szCs w:val="18"/>
              </w:rPr>
              <w:t xml:space="preserve">Value</w:t>
            </w:r>
          </w:p>
        </w:tc>
        <w:tc>
          <w:tcPr>
            <w:tcW w:type="dxa" w:w="40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jc w:val="left"/>
            </w:pPr>
            <w:r>
              <w:rPr>
                <w:rFonts w:ascii="Arial" w:cs="Arial" w:eastAsia="Arial" w:hAnsi="Arial"/>
                <w:b/>
                <w:bCs/>
                <w:color w:val="FFFFFF"/>
                <w:sz w:val="18"/>
                <w:szCs w:val="18"/>
              </w:rPr>
              <w:t xml:space="preserve">Interpretation</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Recommendation accuracy</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59.5%</w:t>
            </w:r>
          </w:p>
        </w:tc>
        <w:tc>
          <w:tcPr>
            <w:tcW w:type="dxa" w:w="40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Moderate; correctly identifies many appropriate treatments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Exclusion accuracy</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7.0%</w:t>
            </w:r>
          </w:p>
        </w:tc>
        <w:tc>
          <w:tcPr>
            <w:tcW w:type="dxa" w:w="4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Very poor; almost never excludes contraindicated treatments</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Overall recommendation bias</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76.7%</w:t>
            </w:r>
          </w:p>
        </w:tc>
        <w:tc>
          <w:tcPr>
            <w:tcW w:type="dxa" w:w="40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Model recommends the vast majority of all treatments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Significant edges (BH-FDR q=0.05)</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13 / 339 (3.8%)</w:t>
            </w:r>
          </w:p>
        </w:tc>
        <w:tc>
          <w:tcPr>
            <w:tcW w:type="dxa" w:w="4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Minimal causal sensitivity detected</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Mean JSD (base vs perturbation)</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0.031</w:t>
            </w:r>
          </w:p>
        </w:tc>
        <w:tc>
          <w:tcPr>
            <w:tcW w:type="dxa" w:w="40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Very low divergence; model ignores perturbations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No meaningful change (&lt;5% shift)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63.6% of expected shifts</w:t>
            </w:r>
          </w:p>
        </w:tc>
        <w:tc>
          <w:tcPr>
            <w:tcW w:type="dxa" w:w="4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Majority of perturbations have no effect</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Correct direction (when shift occurs)</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19.6%</w:t>
            </w:r>
          </w:p>
        </w:tc>
        <w:tc>
          <w:tcPr>
            <w:tcW w:type="dxa" w:w="40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Rare shifts, but not reliably in correct direction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Null perturbation false positives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 / 51</w:t>
            </w:r>
          </w:p>
        </w:tc>
        <w:tc>
          <w:tcPr>
            <w:tcW w:type="dxa" w:w="4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Good specificity; null perturbations correctly ignored</w:t>
            </w:r>
          </w:p>
        </w:tc>
      </w:tr>
    </w:tbl>
    <w:p>
      <w:r>
        <w:br w:type="page"/>
      </w:r>
    </w:p>
    <w:p>
      <w:pPr>
        <w:pStyle w:val="Heading1"/>
      </w:pPr>
      <w:r>
        <w:t xml:space="preserve">1. Data Overview</w:t>
      </w:r>
    </w:p>
    <w:p>
      <w:pPr>
        <w:spacing w:after="120"/>
      </w:pPr>
      <w:r>
        <w:t xml:space="preserve">The battery comprises 88 vignettes: 12 baseline clinical scenarios and 76 perturbations (48 flip, 12 escalate, 12 null, 3 grey-zone, 1 multi-variable). These are organised into 10 clinical families spanning the major decision domains in head and neck oncology.</w:t>
      </w:r>
    </w:p>
    <w:p>
      <w:pPr>
        <w:spacing w:after="120"/>
      </w:pPr>
      <w:r>
        <w:t xml:space="preserve">Each vignette was presented 30 times to the model. One response (G1-ABS06, run 7) returned an HTTP 503 error, yielding 2,639 successful responses. All 88 items received at least 29 complete runs, providing robust statistical power for distributional comparisons.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6140"/>
      </w:tblGrid>
      <w:tr>
        <w:tc>
          <w:tcPr>
            <w:tcW w:type="dxa" w:w="25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jc w:val="left"/>
            </w:pPr>
            <w:r>
              <w:rPr>
                <w:rFonts w:ascii="Arial" w:cs="Arial" w:eastAsia="Arial" w:hAnsi="Arial"/>
                <w:b/>
                <w:bCs/>
                <w:color w:val="FFFFFF"/>
                <w:sz w:val="18"/>
                <w:szCs w:val="18"/>
              </w:rPr>
              <w:t xml:space="preserve">Item Type</w:t>
            </w:r>
          </w:p>
        </w:tc>
        <w:tc>
          <w:tcPr>
            <w:tcW w:type="dxa" w:w="12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Count</w:t>
            </w:r>
          </w:p>
        </w:tc>
        <w:tc>
          <w:tcPr>
            <w:tcW w:type="dxa" w:w="61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jc w:val="left"/>
            </w:pPr>
            <w:r>
              <w:rPr>
                <w:rFonts w:ascii="Arial" w:cs="Arial" w:eastAsia="Arial" w:hAnsi="Arial"/>
                <w:b/>
                <w:bCs/>
                <w:color w:val="FFFFFF"/>
                <w:sz w:val="18"/>
                <w:szCs w:val="18"/>
              </w:rPr>
              <w:t xml:space="preserve">Purpose</w:t>
            </w:r>
          </w:p>
        </w:tc>
      </w:tr>
      <w:tr>
        <w:tc>
          <w:tcPr>
            <w:tcW w:type="dxa" w:w="2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Baseline</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12</w:t>
            </w:r>
          </w:p>
        </w:tc>
        <w:tc>
          <w:tcPr>
            <w:tcW w:type="dxa" w:w="61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Establish reference recommendation distributions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Flip</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48</w:t>
            </w:r>
          </w:p>
        </w:tc>
        <w:tc>
          <w:tcPr>
            <w:tcW w:type="dxa" w:w="61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Reverse a key clinical variable to test causal sensitivity</w:t>
            </w:r>
          </w:p>
        </w:tc>
      </w:tr>
      <w:tr>
        <w:tc>
          <w:tcPr>
            <w:tcW w:type="dxa" w:w="2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Escalate</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12</w:t>
            </w:r>
          </w:p>
        </w:tc>
        <w:tc>
          <w:tcPr>
            <w:tcW w:type="dxa" w:w="61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Advance disease stage to test dose-response relationships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Null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12</w:t>
            </w:r>
          </w:p>
        </w:tc>
        <w:tc>
          <w:tcPr>
            <w:tcW w:type="dxa" w:w="61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Cosmetic rewording only; should produce identical recommendations</w:t>
            </w:r>
          </w:p>
        </w:tc>
      </w:tr>
      <w:tr>
        <w:tc>
          <w:tcPr>
            <w:tcW w:type="dxa" w:w="2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Grey zone</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w:t>
            </w:r>
          </w:p>
        </w:tc>
        <w:tc>
          <w:tcPr>
            <w:tcW w:type="dxa" w:w="61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Clinically ambiguous scenarios testing nuanced reasoning</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Multi-variable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w:t>
            </w:r>
          </w:p>
        </w:tc>
        <w:tc>
          <w:tcPr>
            <w:tcW w:type="dxa" w:w="61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Simultaneous perturbation of multiple variables</w:t>
            </w:r>
          </w:p>
        </w:tc>
      </w:tr>
    </w:tbl>
    <w:p>
      <w:pPr>
        <w:pStyle w:val="Heading1"/>
      </w:pPr>
      <w:r>
        <w:t xml:space="preserve">2. Recommendation vs. Exclusion Accuracy</w:t>
      </w:r>
    </w:p>
    <w:p>
      <w:pPr>
        <w:spacing w:after="120"/>
      </w:pPr>
      <w:r>
        <w:t xml:space="preserve">The model achieves 59.5% recommendation accuracy (correctly labelling expected treatments as </w:t>
      </w:r>
      <w:r>
        <w:rPr>
          <w:i/>
          <w:iCs/>
        </w:rPr>
        <w:t xml:space="preserve">recommended</w:t>
      </w:r>
      <w:r>
        <w:t xml:space="preserve">), but only 7.0% exclusion accuracy (correctly labelling contraindicated treatments as </w:t>
      </w:r>
      <w:r>
        <w:rPr>
          <w:i/>
          <w:iCs/>
        </w:rPr>
        <w:t xml:space="preserve">excluded</w:t>
      </w:r>
      <w:r>
        <w:t xml:space="preserve"> or </w:t>
      </w:r>
      <w:r>
        <w:rPr>
          <w:i/>
          <w:iCs/>
        </w:rPr>
        <w:t xml:space="preserve">conditional</w:t>
      </w:r>
      <w:r>
        <w:t xml:space="preserve">). This stark asymmetry is driven by a global recommendation bias: the model defaults to recommending nearly everything.</w:t>
      </w:r>
    </w:p>
    <w:p>
      <w:pPr>
        <w:pStyle w:val="Heading2"/>
      </w:pPr>
      <w:r>
        <w:t xml:space="preserve">Stance Distribution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400"/>
        <w:gridCol w:w="2980"/>
        <w:gridCol w:w="3460"/>
      </w:tblGrid>
      <w:tr>
        <w:tc>
          <w:tcPr>
            <w:tcW w:type="dxa" w:w="34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Stance</w:t>
            </w:r>
          </w:p>
        </w:tc>
        <w:tc>
          <w:tcPr>
            <w:tcW w:type="dxa" w:w="298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Count</w:t>
            </w:r>
          </w:p>
        </w:tc>
        <w:tc>
          <w:tcPr>
            <w:tcW w:type="dxa" w:w="346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jc w:val="left"/>
            </w:pPr>
            <w:r>
              <w:rPr>
                <w:rFonts w:ascii="Arial" w:cs="Arial" w:eastAsia="Arial" w:hAnsi="Arial"/>
                <w:b/>
                <w:bCs/>
                <w:color w:val="FFFFFF"/>
                <w:sz w:val="18"/>
                <w:szCs w:val="18"/>
              </w:rPr>
              <w:t xml:space="preserve">Percentage</w:t>
            </w:r>
          </w:p>
        </w:tc>
      </w:tr>
      <w:tr>
        <w:tc>
          <w:tcPr>
            <w:tcW w:type="dxa" w:w="3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Recommended</w:t>
            </w:r>
          </w:p>
        </w:tc>
        <w:tc>
          <w:tcPr>
            <w:tcW w:type="dxa" w:w="29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7,713</w:t>
            </w:r>
          </w:p>
        </w:tc>
        <w:tc>
          <w:tcPr>
            <w:tcW w:type="dxa" w:w="34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76.7%</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Excluded</w:t>
            </w:r>
          </w:p>
        </w:tc>
        <w:tc>
          <w:tcPr>
            <w:tcW w:type="dxa" w:w="29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1,338</w:t>
            </w:r>
          </w:p>
        </w:tc>
        <w:tc>
          <w:tcPr>
            <w:tcW w:type="dxa" w:w="3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13.3%</w:t>
            </w:r>
          </w:p>
        </w:tc>
      </w:tr>
      <w:tr>
        <w:tc>
          <w:tcPr>
            <w:tcW w:type="dxa" w:w="3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Relative contraindication</w:t>
            </w:r>
          </w:p>
        </w:tc>
        <w:tc>
          <w:tcPr>
            <w:tcW w:type="dxa" w:w="29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666</w:t>
            </w:r>
          </w:p>
        </w:tc>
        <w:tc>
          <w:tcPr>
            <w:tcW w:type="dxa" w:w="34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6.6%</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Uncertain</w:t>
            </w:r>
          </w:p>
        </w:tc>
        <w:tc>
          <w:tcPr>
            <w:tcW w:type="dxa" w:w="29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344</w:t>
            </w:r>
          </w:p>
        </w:tc>
        <w:tc>
          <w:tcPr>
            <w:tcW w:type="dxa" w:w="3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3.4%</w:t>
            </w:r>
          </w:p>
        </w:tc>
      </w:tr>
    </w:tbl>
    <w:p>
      <w:pPr>
        <w:spacing w:after="120" w:before="200"/>
      </w:pPr>
      <w:r>
        <w:t xml:space="preserve">The dominance of the </w:t>
      </w:r>
      <w:r>
        <w:rPr>
          <w:i/>
          <w:iCs/>
        </w:rPr>
        <w:t xml:space="preserve">recommended</w:t>
      </w:r>
      <w:r>
        <w:t xml:space="preserve"> stance (76.7%) means the model has a high true-positive rate for treatments that should indeed be recommended, but at the cost of also recommending treatments that should be excluded. This is analogous to a classifier with high sensitivity but extremely low specificity.</w:t>
      </w:r>
    </w:p>
    <w:p>
      <w:pPr>
        <w:pStyle w:val="Heading2"/>
      </w:pPr>
      <w:r>
        <w:t xml:space="preserve">Per-Family Accuracy</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4240"/>
      </w:tblGrid>
      <w:tr>
        <w:tc>
          <w:tcPr>
            <w:tcW w:type="dxa" w:w="24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jc w:val="left"/>
            </w:pPr>
            <w:r>
              <w:rPr>
                <w:rFonts w:ascii="Arial" w:cs="Arial" w:eastAsia="Arial" w:hAnsi="Arial"/>
                <w:b/>
                <w:bCs/>
                <w:color w:val="FFFFFF"/>
                <w:sz w:val="18"/>
                <w:szCs w:val="18"/>
              </w:rPr>
              <w:t xml:space="preserve">Family</w:t>
            </w:r>
          </w:p>
        </w:tc>
        <w:tc>
          <w:tcPr>
            <w:tcW w:type="dxa" w:w="16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jc w:val="left"/>
            </w:pPr>
            <w:r>
              <w:rPr>
                <w:rFonts w:ascii="Arial" w:cs="Arial" w:eastAsia="Arial" w:hAnsi="Arial"/>
                <w:b/>
                <w:bCs/>
                <w:color w:val="FFFFFF"/>
                <w:sz w:val="18"/>
                <w:szCs w:val="18"/>
              </w:rPr>
              <w:t xml:space="preserve">Rec. Accuracy</w:t>
            </w:r>
          </w:p>
        </w:tc>
        <w:tc>
          <w:tcPr>
            <w:tcW w:type="dxa" w:w="16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jc w:val="left"/>
            </w:pPr>
            <w:r>
              <w:rPr>
                <w:rFonts w:ascii="Arial" w:cs="Arial" w:eastAsia="Arial" w:hAnsi="Arial"/>
                <w:b/>
                <w:bCs/>
                <w:color w:val="FFFFFF"/>
                <w:sz w:val="18"/>
                <w:szCs w:val="18"/>
              </w:rPr>
              <w:t xml:space="preserve">Exc. Accuracy</w:t>
            </w:r>
          </w:p>
        </w:tc>
        <w:tc>
          <w:tcPr>
            <w:tcW w:type="dxa" w:w="42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jc w:val="left"/>
            </w:pPr>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glottic_cT3</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90.3%</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6.9%</w:t>
            </w:r>
          </w:p>
        </w:tc>
        <w:tc>
          <w:tcPr>
            <w:tcW w:type="dxa" w:w="42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Best recommendation accuracy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hypopharyngeal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88.8%</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0.0%</w:t>
            </w:r>
          </w:p>
        </w:tc>
        <w:tc>
          <w:tcPr>
            <w:tcW w:type="dxa" w:w="4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Zero exclusion accuracy</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cT4a_unselected</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100.0%</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2.8%</w:t>
            </w:r>
          </w:p>
        </w:tc>
        <w:tc>
          <w:tcPr>
            <w:tcW w:type="dxa" w:w="42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Recommends everything correctly but never excludes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cisplatin_eligibility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30.1%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2.3%</w:t>
            </w:r>
          </w:p>
        </w:tc>
        <w:tc>
          <w:tcPr>
            <w:tcW w:type="dxa" w:w="4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Worst recommendation + exclusion</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elderly_frail</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31.9%</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6.7%</w:t>
            </w:r>
          </w:p>
        </w:tc>
        <w:tc>
          <w:tcPr>
            <w:tcW w:type="dxa" w:w="42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Poor overall; struggles with frailty-related exclusions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post_ict_response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65.2%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23.6%</w:t>
            </w:r>
          </w:p>
        </w:tc>
        <w:tc>
          <w:tcPr>
            <w:tcW w:type="dxa" w:w="4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Best exclusion accuracy (still low)</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pretreatment_function</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41.5%</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1.3%</w:t>
            </w:r>
          </w:p>
        </w:tc>
        <w:tc>
          <w:tcPr>
            <w:tcW w:type="dxa" w:w="42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Ignores functional status in treatment selection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glottic_cT2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60.5%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8.3%</w:t>
            </w:r>
          </w:p>
        </w:tc>
        <w:tc>
          <w:tcPr>
            <w:tcW w:type="dxa" w:w="4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Moderate recommendation, poor exclusion</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supraglottic_cT3</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61.2%</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1.1%</w:t>
            </w:r>
          </w:p>
        </w:tc>
        <w:tc>
          <w:tcPr>
            <w:tcW w:type="dxa" w:w="42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Nearly zero exclusion capability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cT4a_selected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63.1%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2.3%</w:t>
            </w:r>
          </w:p>
        </w:tc>
        <w:tc>
          <w:tcPr>
            <w:tcW w:type="dxa" w:w="4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Similar pattern to other T4a scenarios</w:t>
            </w:r>
          </w:p>
        </w:tc>
      </w:tr>
    </w:tbl>
    <w:p>
      <w:pPr>
        <w:spacing w:after="120" w:before="200"/>
      </w:pPr>
      <w:r>
        <w:t xml:space="preserve">The post_ict_response family stands out with the highest exclusion accuracy (23.6%), likely because post-induction chemotherapy response is a well-established decision node that even smaller models have seen in training data. The cisplatin_eligibility and elderly_frail families perform worst, suggesting the model cannot reliably apply clinical eligibility criteria.</w:t>
      </w:r>
    </w:p>
    <w:p>
      <w:pPr>
        <w:pStyle w:val="Heading2"/>
      </w:pPr>
      <w:r>
        <w:t xml:space="preserve">Top Exclusion Failures</w:t>
      </w:r>
    </w:p>
    <w:p>
      <w:pPr>
        <w:spacing w:after="120"/>
      </w:pPr>
      <w:r>
        <w:t xml:space="preserve">The following treatments were most frequently recommended when they should have been excluded, representing the most clinically dangerous error patterns: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640"/>
      </w:tblGrid>
      <w:tr>
        <w:tc>
          <w:tcPr>
            <w:tcW w:type="dxa" w:w="30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jc w:val="left"/>
            </w:pPr>
            <w:r>
              <w:rPr>
                <w:rFonts w:ascii="Arial" w:cs="Arial" w:eastAsia="Arial" w:hAnsi="Arial"/>
                <w:b/>
                <w:bCs/>
                <w:color w:val="FFFFFF"/>
                <w:sz w:val="18"/>
                <w:szCs w:val="18"/>
              </w:rPr>
              <w:t xml:space="preserve">Treatment</w:t>
            </w:r>
          </w:p>
        </w:tc>
        <w:tc>
          <w:tcPr>
            <w:tcW w:type="dxa" w:w="12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jc w:val="left"/>
            </w:pPr>
            <w:r>
              <w:rPr>
                <w:rFonts w:ascii="Arial" w:cs="Arial" w:eastAsia="Arial" w:hAnsi="Arial"/>
                <w:b/>
                <w:bCs/>
                <w:color w:val="FFFFFF"/>
                <w:sz w:val="18"/>
                <w:szCs w:val="18"/>
              </w:rPr>
              <w:t xml:space="preserve">Failures</w:t>
            </w:r>
          </w:p>
        </w:tc>
        <w:tc>
          <w:tcPr>
            <w:tcW w:type="dxa" w:w="56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Clinical Significance</w:t>
            </w:r>
          </w:p>
        </w:tc>
      </w:tr>
      <w:tr>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TLM (transoral laser microsurgery)</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768</w:t>
            </w:r>
          </w:p>
        </w:tc>
        <w:tc>
          <w:tcPr>
            <w:tcW w:type="dxa" w:w="56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Recommended regardless of laryngeal exposure or tumour extent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Nonsurgical laryngeal preservation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330</w:t>
            </w:r>
          </w:p>
        </w:tc>
        <w:tc>
          <w:tcPr>
            <w:tcW w:type="dxa" w:w="5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Not excluded even when organ preservation is contraindicated</w:t>
            </w:r>
          </w:p>
        </w:tc>
      </w:tr>
      <w:tr>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Cisplatin high-dose</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319</w:t>
            </w:r>
          </w:p>
        </w:tc>
        <w:tc>
          <w:tcPr>
            <w:tcW w:type="dxa" w:w="56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Not excluded for cisplatin-ineligible patients (renal, hearing, fitness)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Total laryngectomy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201</w:t>
            </w:r>
          </w:p>
        </w:tc>
        <w:tc>
          <w:tcPr>
            <w:tcW w:type="dxa" w:w="5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Over-recommended in early-stage scenarios</w:t>
            </w:r>
          </w:p>
        </w:tc>
      </w:tr>
      <w:tr>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OPHL (any)</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146</w:t>
            </w:r>
          </w:p>
        </w:tc>
        <w:tc>
          <w:tcPr>
            <w:tcW w:type="dxa" w:w="56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Not excluded when surgical anatomy is unfavourable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Surgical LP</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120</w:t>
            </w:r>
          </w:p>
        </w:tc>
        <w:tc>
          <w:tcPr>
            <w:tcW w:type="dxa" w:w="5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Recommended without regard to selection criteria</w:t>
            </w:r>
          </w:p>
        </w:tc>
      </w:tr>
    </w:tbl>
    <w:p>
      <w:r>
        <w:br w:type="page"/>
      </w:r>
    </w:p>
    <w:p>
      <w:pPr>
        <w:pStyle w:val="Heading1"/>
      </w:pPr>
      <w:r>
        <w:t xml:space="preserve">3. Causal Edge Detection</w:t>
      </w:r>
    </w:p>
    <w:p>
      <w:pPr>
        <w:spacing w:after="120"/>
      </w:pPr>
      <w:r>
        <w:t xml:space="preserve">Of 339 perturbation-treatment pairs tested (Fisher’s exact test, BH-FDR q=0.05), only 13 (3.8%) showed statistically significant distributional shifts. The mean Jensen-Shannon Divergence across all tests was 0.031 (median 0.012, max 0.546), indicating that the model’s recommendation distributions are virtually identical between baseline and perturbed scenarios.</w:t>
      </w:r>
    </w:p>
    <w:p>
      <w:pPr>
        <w:pStyle w:val="Heading2"/>
      </w:pPr>
      <w:r>
        <w:t xml:space="preserve">Significant Edges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200"/>
        <w:gridCol w:w="1000"/>
        <w:gridCol w:w="1200"/>
        <w:gridCol w:w="1200"/>
      </w:tblGrid>
      <w:tr>
        <w:tc>
          <w:tcPr>
            <w:tcW w:type="dxa" w:w="16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jc w:val="left"/>
            </w:pPr>
            <w:r>
              <w:rPr>
                <w:rFonts w:ascii="Arial" w:cs="Arial" w:eastAsia="Arial" w:hAnsi="Arial"/>
                <w:b/>
                <w:bCs/>
                <w:color w:val="FFFFFF"/>
                <w:sz w:val="18"/>
                <w:szCs w:val="18"/>
              </w:rPr>
              <w:t xml:space="preserve">Perturbation</w:t>
            </w:r>
          </w:p>
        </w:tc>
        <w:tc>
          <w:tcPr>
            <w:tcW w:type="dxa" w:w="22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jc w:val="left"/>
            </w:pPr>
            <w:r>
              <w:rPr>
                <w:rFonts w:ascii="Arial" w:cs="Arial" w:eastAsia="Arial" w:hAnsi="Arial"/>
                <w:b/>
                <w:bCs/>
                <w:color w:val="FFFFFF"/>
                <w:sz w:val="18"/>
                <w:szCs w:val="18"/>
              </w:rPr>
              <w:t xml:space="preserve">Treatment</w:t>
            </w:r>
          </w:p>
        </w:tc>
        <w:tc>
          <w:tcPr>
            <w:tcW w:type="dxa" w:w="12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jc w:val="left"/>
            </w:pPr>
            <w:r>
              <w:rPr>
                <w:rFonts w:ascii="Arial" w:cs="Arial" w:eastAsia="Arial" w:hAnsi="Arial"/>
                <w:b/>
                <w:bCs/>
                <w:color w:val="FFFFFF"/>
                <w:sz w:val="18"/>
                <w:szCs w:val="18"/>
              </w:rPr>
              <w:t xml:space="preserve">p-value</w:t>
            </w:r>
          </w:p>
        </w:tc>
        <w:tc>
          <w:tcPr>
            <w:tcW w:type="dxa" w:w="10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jc w:val="left"/>
            </w:pPr>
            <w:r>
              <w:rPr>
                <w:rFonts w:ascii="Arial" w:cs="Arial" w:eastAsia="Arial" w:hAnsi="Arial"/>
                <w:b/>
                <w:bCs/>
                <w:color w:val="FFFFFF"/>
                <w:sz w:val="18"/>
                <w:szCs w:val="18"/>
              </w:rPr>
              <w:t xml:space="preserve">JSD</w:t>
            </w:r>
          </w:p>
        </w:tc>
        <w:tc>
          <w:tcPr>
            <w:tcW w:type="dxa" w:w="12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jc w:val="left"/>
            </w:pPr>
            <w:r>
              <w:rPr>
                <w:rFonts w:ascii="Arial" w:cs="Arial" w:eastAsia="Arial" w:hAnsi="Arial"/>
                <w:b/>
                <w:bCs/>
                <w:color w:val="FFFFFF"/>
                <w:sz w:val="18"/>
                <w:szCs w:val="18"/>
              </w:rPr>
              <w:t xml:space="preserve">Base rec</w:t>
            </w:r>
          </w:p>
        </w:tc>
        <w:tc>
          <w:tcPr>
            <w:tcW w:type="dxa" w:w="12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jc w:val="left"/>
            </w:pPr>
            <w:r>
              <w:rPr>
                <w:rFonts w:ascii="Arial" w:cs="Arial" w:eastAsia="Arial" w:hAnsi="Arial"/>
                <w:b/>
                <w:bCs/>
                <w:color w:val="FFFFFF"/>
                <w:sz w:val="18"/>
                <w:szCs w:val="18"/>
              </w:rPr>
              <w:t xml:space="preserve">Pert rec</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H1-P4</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total_laryngectomy</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&lt;0.000001</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0.546</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7%</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97%</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H1-P2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total_laryngectomy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0.000002</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0.268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67%</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J1-P3</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concurrent_crt</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0.000006</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0.198</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17%</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77%</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H2-P1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concurrent_crt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0.000017</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0.198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53%</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H2-P1</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total_laryngectomy</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0.000023</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0.173</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23%</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80%</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J1-P3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ict_rt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0.000181</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0.171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67%</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H2-P1</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rt_alone</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0.000181</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0.136</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83%</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33%</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H2-P2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rt_alone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0.000181</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0.145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33%</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H2-P2</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total_laryngectomy</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0.000231</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0.267</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23%</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73%</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H2-P3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rt_alone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0.000481</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0.124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37%</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A2-P3</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concurrent_crt</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0.000574</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0.132</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20%</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67%</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J1-P6</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total_laryngectomy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0.000916</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0.138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43%</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J1-P6</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concurrent_crt</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0.001193</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0.155</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17%</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60%</w:t>
            </w:r>
          </w:p>
        </w:tc>
      </w:tr>
    </w:tbl>
    <w:p>
      <w:pPr>
        <w:spacing w:after="120" w:before="200"/>
      </w:pPr>
      <w:r>
        <w:t xml:space="preserve">The 13 significant edges cluster in just two clinical families: post_ict_response (J1, 4 edges) and pretreatment_function (H2, 6 edges), plus single edges in hypopharyngeal (H1) and glottic_cT2 (A2). This means 8 of the 10 clinical families show zero statistically significant sensitivity to any perturbation.</w:t>
      </w:r>
    </w:p>
    <w:p>
      <w:pPr>
        <w:pStyle w:val="Heading2"/>
      </w:pPr>
      <w:r>
        <w:t xml:space="preserve">Per-Family Edge Detection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1400"/>
        <w:gridCol w:w="3840"/>
      </w:tblGrid>
      <w:tr>
        <w:tc>
          <w:tcPr>
            <w:tcW w:type="dxa" w:w="26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jc w:val="left"/>
            </w:pPr>
            <w:r>
              <w:rPr>
                <w:rFonts w:ascii="Arial" w:cs="Arial" w:eastAsia="Arial" w:hAnsi="Arial"/>
                <w:b/>
                <w:bCs/>
                <w:color w:val="FFFFFF"/>
                <w:sz w:val="18"/>
                <w:szCs w:val="18"/>
              </w:rPr>
              <w:t xml:space="preserve">Family</w:t>
            </w:r>
          </w:p>
        </w:tc>
        <w:tc>
          <w:tcPr>
            <w:tcW w:type="dxa" w:w="20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Significant / Total</w:t>
            </w:r>
          </w:p>
        </w:tc>
        <w:tc>
          <w:tcPr>
            <w:tcW w:type="dxa" w:w="14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jc w:val="left"/>
            </w:pPr>
            <w:r>
              <w:rPr>
                <w:rFonts w:ascii="Arial" w:cs="Arial" w:eastAsia="Arial" w:hAnsi="Arial"/>
                <w:b/>
                <w:bCs/>
                <w:color w:val="FFFFFF"/>
                <w:sz w:val="18"/>
                <w:szCs w:val="18"/>
              </w:rPr>
              <w:t xml:space="preserve">Mean JSD</w:t>
            </w:r>
          </w:p>
        </w:tc>
        <w:tc>
          <w:tcPr>
            <w:tcW w:type="dxa" w:w="38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jc w:val="left"/>
            </w:pPr>
            <w:r>
              <w:rPr>
                <w:rFonts w:ascii="Arial" w:cs="Arial" w:eastAsia="Arial" w:hAnsi="Arial"/>
                <w:b/>
                <w:bCs/>
                <w:color w:val="FFFFFF"/>
                <w:sz w:val="18"/>
                <w:szCs w:val="18"/>
              </w:rPr>
              <w:t xml:space="preserve">Pattern</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post_ict_response</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 / 32</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0.104</w:t>
            </w:r>
          </w:p>
        </w:tc>
        <w:tc>
          <w:tcPr>
            <w:tcW w:type="dxa" w:w="38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Most responsive family; ICT response is a strong signal</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pretreatment_function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 / 35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0.060</w:t>
            </w:r>
          </w:p>
        </w:tc>
        <w:tc>
          <w:tcPr>
            <w:tcW w:type="dxa" w:w="3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Voice/swallowing changes shift surgery vs. RT balance</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hypopharyngeal</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 / 18</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0.014</w:t>
            </w:r>
          </w:p>
        </w:tc>
        <w:tc>
          <w:tcPr>
            <w:tcW w:type="dxa" w:w="38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Single significant edge from escalate perturbation (H1-P4)</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elderly_frail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 / 23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0.046</w:t>
            </w:r>
          </w:p>
        </w:tc>
        <w:tc>
          <w:tcPr>
            <w:tcW w:type="dxa" w:w="3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Highest non-significant mean JSD; marginal sensitivity</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cisplatin_eligibility</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 / 60</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0.019</w:t>
            </w:r>
          </w:p>
        </w:tc>
        <w:tc>
          <w:tcPr>
            <w:tcW w:type="dxa" w:w="38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Largest family, zero sensitivity</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glottic_cT3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 / 59</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0.020</w:t>
            </w:r>
          </w:p>
        </w:tc>
        <w:tc>
          <w:tcPr>
            <w:tcW w:type="dxa" w:w="3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Zero sensitivity despite 59 tests</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supraglottic_cT3</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 / 32</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0.017</w:t>
            </w:r>
          </w:p>
        </w:tc>
        <w:tc>
          <w:tcPr>
            <w:tcW w:type="dxa" w:w="38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Zero sensitivity</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cT4a_selected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 / 32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0.016</w:t>
            </w:r>
          </w:p>
        </w:tc>
        <w:tc>
          <w:tcPr>
            <w:tcW w:type="dxa" w:w="3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Zero sensitivity</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glottic_cT2</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 / 44</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0.009</w:t>
            </w:r>
          </w:p>
        </w:tc>
        <w:tc>
          <w:tcPr>
            <w:tcW w:type="dxa" w:w="38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One edge (A2-P3, concurrent_crt)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cT4a_unselected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 / 4</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0.025</w:t>
            </w:r>
          </w:p>
        </w:tc>
        <w:tc>
          <w:tcPr>
            <w:tcW w:type="dxa" w:w="3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Small family, zero sensitivity</w:t>
            </w:r>
          </w:p>
        </w:tc>
      </w:tr>
    </w:tbl>
    <w:p>
      <w:r>
        <w:br w:type="page"/>
      </w:r>
    </w:p>
    <w:p>
      <w:pPr>
        <w:pStyle w:val="Heading1"/>
      </w:pPr>
      <w:r>
        <w:t xml:space="preserve">4. Illustrative Case Studies</w:t>
      </w:r>
    </w:p>
    <w:p>
      <w:pPr>
        <w:pStyle w:val="Heading2"/>
      </w:pPr>
      <w:r>
        <w:t xml:space="preserve">Case 1: Laryngeal Exposure (A1-BASE vs A1-P1)</w:t>
      </w:r>
    </w:p>
    <w:p>
      <w:pPr>
        <w:spacing w:after="120"/>
      </w:pPr>
      <w:r>
        <w:t xml:space="preserve">In family glottic_cT2, the baseline presents a cT2N0 glottic SCC with adequate laryngeal exposure (A1-BASE), where TLM is expected as a recommendation. Perturbation A1-P1 changes exposure to inadequate, meaning TLM should be excluded. </w:t>
      </w:r>
      <w:r>
        <w:rPr>
          <w:b/>
          <w:bCs/>
        </w:rPr>
        <w:t xml:space="preserve">Result: TLM was recommended 30/30 (100%) in both conditions.</w:t>
      </w:r>
      <w:r>
        <w:t xml:space="preserve"> The model completely ignores the laryngeal exposure variable, which is a critical surgical eligibility criterion. This is a textbook example of causal insensitivity: the model produces identical outputs regardless of a clinically decisive variable.</w:t>
      </w:r>
    </w:p>
    <w:p>
      <w:pPr>
        <w:pStyle w:val="Heading2"/>
      </w:pPr>
      <w:r>
        <w:t xml:space="preserve">Case 2: ICT Response (J1-BASE vs J1-P3)</w:t>
      </w:r>
    </w:p>
    <w:p>
      <w:pPr>
        <w:spacing w:after="120"/>
      </w:pPr>
      <w:r>
        <w:t xml:space="preserve">In the post_ict_response family, J1-P3 represents a scenario where ICT response dictates a shift toward more aggressive treatment. Here, the model </w:t>
      </w:r>
      <w:r>
        <w:rPr>
          <w:i/>
          <w:iCs/>
        </w:rPr>
        <w:t xml:space="preserve">does</w:t>
      </w:r>
      <w:r>
        <w:t xml:space="preserve"> show sensitivity: concurrent CRT recommendation jumps from 17% to 77%, and ICT-RT from 17% to 67%. This is the model’s strongest causal response and aligns with the expected clinical direction. The post-ICT response is likely a well-represented decision node in training data.</w:t>
      </w:r>
    </w:p>
    <w:p>
      <w:pPr>
        <w:pStyle w:val="Heading2"/>
      </w:pPr>
      <w:r>
        <w:t xml:space="preserve">Case 3: Voice/Swallowing Function (H2-BASE vs H2-P1)</w:t>
      </w:r>
    </w:p>
    <w:p>
      <w:pPr>
        <w:spacing w:after="120"/>
      </w:pPr>
      <w:r>
        <w:t xml:space="preserve">In the pretreatment_function family, H2-P1 modifies the patient’s pretreatment voice and swallowing function to favour total laryngectomy over organ preservation. The model responds: total laryngectomy increases from 23% to 80%, RT alone drops from 83% to 33%, and concurrent CRT drops from 100% to 53%. This is the second-most responsive family, showing the model can detect some functional status signals.</w:t>
      </w:r>
    </w:p>
    <w:p>
      <w:pPr>
        <w:pStyle w:val="Heading1"/>
      </w:pPr>
      <w:r>
        <w:t xml:space="preserve">5. Direction Analysis</w:t>
      </w:r>
    </w:p>
    <w:p>
      <w:pPr>
        <w:spacing w:after="120"/>
      </w:pPr>
      <w:r>
        <w:t xml:space="preserve">Across 143 perturbation-treatment pairs where a directional change was expected (treatment moving from recommended to excluded or vice versa):</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3160"/>
      </w:tblGrid>
      <w:tr>
        <w:tc>
          <w:tcPr>
            <w:tcW w:type="dxa" w:w="40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jc w:val="left"/>
            </w:pPr>
            <w:r>
              <w:rPr>
                <w:rFonts w:ascii="Arial" w:cs="Arial" w:eastAsia="Arial" w:hAnsi="Arial"/>
                <w:b/>
                <w:bCs/>
                <w:color w:val="FFFFFF"/>
                <w:sz w:val="18"/>
                <w:szCs w:val="18"/>
              </w:rPr>
              <w:t xml:space="preserve">Outcome</w:t>
            </w:r>
          </w:p>
        </w:tc>
        <w:tc>
          <w:tcPr>
            <w:tcW w:type="dxa" w:w="268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Count</w:t>
            </w:r>
          </w:p>
        </w:tc>
        <w:tc>
          <w:tcPr>
            <w:tcW w:type="dxa" w:w="316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jc w:val="left"/>
            </w:pPr>
            <w:r>
              <w:rPr>
                <w:rFonts w:ascii="Arial" w:cs="Arial" w:eastAsia="Arial" w:hAnsi="Arial"/>
                <w:b/>
                <w:bCs/>
                <w:color w:val="FFFFFF"/>
                <w:sz w:val="18"/>
                <w:szCs w:val="18"/>
              </w:rPr>
              <w:t xml:space="preserve">Percentage</w:t>
            </w:r>
          </w:p>
        </w:tc>
      </w:tr>
      <w:tr>
        <w:tc>
          <w:tcPr>
            <w:tcW w:type="dxa" w:w="4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No meaningful change (&lt;5% shift)</w:t>
            </w:r>
          </w:p>
        </w:tc>
        <w:tc>
          <w:tcPr>
            <w:tcW w:type="dxa" w:w="26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91</w:t>
            </w:r>
          </w:p>
        </w:tc>
        <w:tc>
          <w:tcPr>
            <w:tcW w:type="dxa" w:w="3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63.6%</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Correct direction</w:t>
            </w:r>
          </w:p>
        </w:tc>
        <w:tc>
          <w:tcPr>
            <w:tcW w:type="dxa" w:w="2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28</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19.6%</w:t>
            </w:r>
          </w:p>
        </w:tc>
      </w:tr>
      <w:tr>
        <w:tc>
          <w:tcPr>
            <w:tcW w:type="dxa" w:w="4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Wrong direction</w:t>
            </w:r>
          </w:p>
        </w:tc>
        <w:tc>
          <w:tcPr>
            <w:tcW w:type="dxa" w:w="26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24</w:t>
            </w:r>
          </w:p>
        </w:tc>
        <w:tc>
          <w:tcPr>
            <w:tcW w:type="dxa" w:w="3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16.8%</w:t>
            </w:r>
          </w:p>
        </w:tc>
      </w:tr>
    </w:tbl>
    <w:p>
      <w:pPr>
        <w:spacing w:after="120" w:before="200"/>
      </w:pPr>
      <w:r>
        <w:t xml:space="preserve">The dominant finding is that 63.6% of expected shifts simply do not occur. When the model does shift, the correct-to-wrong direction ratio is only 1.17:1 (28 vs 24), barely better than chance. This means that even when the model’s behaviour changes, the change is not reliably in the clinically correct direction.</w:t>
      </w:r>
    </w:p>
    <w:p>
      <w:pPr>
        <w:pStyle w:val="Heading1"/>
      </w:pPr>
      <w:r>
        <w:t xml:space="preserve">6. Null Perturbation Specificity</w:t>
      </w:r>
    </w:p>
    <w:p>
      <w:pPr>
        <w:spacing w:after="120"/>
      </w:pPr>
      <w:r>
        <w:t xml:space="preserve">The 12 null perturbations (cosmetic rewording only) produced 51 treatment-level tests, with zero false positives at q=0.05 and a mean JSD of 0.026 (max 0.136). This is a positive result: the battery’s null controls confirm that the model’s insensitivity to real perturbations is not an artefact of test noise, and that cosmetic changes do not spuriously trigger significant distributional shifts.</w:t>
      </w:r>
    </w:p>
    <w:p>
      <w:pPr>
        <w:pStyle w:val="Heading1"/>
      </w:pPr>
      <w:r>
        <w:t xml:space="preserve">7. Conditionality and Uncertainty</w:t>
      </w:r>
    </w:p>
    <w:p>
      <w:pPr>
        <w:spacing w:after="120"/>
      </w:pPr>
      <w:r>
        <w:t xml:space="preserve">The model mentions conditional language (“depending on”, “if”, “provided that”) in 53.6% of responses and uncertainty language (“uncertain”, “uncleared”, “limited evidence”) in 68.1% of responses. However, these verbal hedges do not translate into differential treatment labelling. The model </w:t>
      </w:r>
      <w:r>
        <w:rPr>
          <w:i/>
          <w:iCs/>
        </w:rPr>
        <w:t xml:space="preserve">talks about</w:t>
      </w:r>
      <w:r>
        <w:t xml:space="preserve"> clinical nuance but does not </w:t>
      </w:r>
      <w:r>
        <w:rPr>
          <w:i/>
          <w:iCs/>
        </w:rPr>
        <w:t xml:space="preserve">act on</w:t>
      </w:r>
      <w:r>
        <w:t xml:space="preserve"> it, consistently defaulting to </w:t>
      </w:r>
      <w:r>
        <w:rPr>
          <w:i/>
          <w:iCs/>
        </w:rPr>
        <w:t xml:space="preserve">recommended</w:t>
      </w:r>
      <w:r>
        <w:t xml:space="preserve"> for most treatments regardless of the clinical scenario.</w:t>
      </w:r>
    </w:p>
    <w:p>
      <w:r>
        <w:br w:type="page"/>
      </w:r>
    </w:p>
    <w:p>
      <w:pPr>
        <w:pStyle w:val="Heading1"/>
      </w:pPr>
      <w:r>
        <w:t xml:space="preserve">8. Synthesis and Interpretation</w:t>
      </w:r>
    </w:p>
    <w:p>
      <w:pPr>
        <w:pStyle w:val="Heading2"/>
      </w:pPr>
      <w:r>
        <w:t xml:space="preserve">8.1 The Recommendation Bias Problem</w:t>
      </w:r>
    </w:p>
    <w:p>
      <w:pPr>
        <w:spacing w:after="120"/>
      </w:pPr>
      <w:r>
        <w:t xml:space="preserve">Llama 3.1-8B demonstrates a systematic tendency to recommend treatments rather than exclude them. With 76.7% of all stances being </w:t>
      </w:r>
      <w:r>
        <w:rPr>
          <w:i/>
          <w:iCs/>
        </w:rPr>
        <w:t xml:space="preserve">recommended</w:t>
      </w:r>
      <w:r>
        <w:t xml:space="preserve">, the model functions as an undiscriminating endorser rather than a clinical decision-support tool. This bias likely reflects the training data distribution, where treatment discussions in medical literature and forums tend to present options favourably rather than systematically enumerate contraindications.</w:t>
      </w:r>
    </w:p>
    <w:p>
      <w:pPr>
        <w:pStyle w:val="Heading2"/>
      </w:pPr>
      <w:r>
        <w:t xml:space="preserve">8.2 Causal Insensitivity</w:t>
      </w:r>
    </w:p>
    <w:p>
      <w:pPr>
        <w:spacing w:after="120"/>
      </w:pPr>
      <w:r>
        <w:t xml:space="preserve">The near-zero edge detection rate (3.8%) and the finding that 63.6% of expected directional shifts produce less than 5% change in recommendation rate indicate that the model has not internalised the causal structure of HNC treatment decision-making. It treats vignettes as pattern-matching exercises (associating cancer type with standard-of-care treatments) rather than reasoning through the causal pathways by which patient variables determine treatment appropriateness.</w:t>
      </w:r>
    </w:p>
    <w:p>
      <w:pPr>
        <w:pStyle w:val="Heading2"/>
      </w:pPr>
      <w:r>
        <w:t xml:space="preserve">8.3 Islands of Sensitivity</w:t>
      </w:r>
    </w:p>
    <w:p>
      <w:pPr>
        <w:spacing w:after="120"/>
      </w:pPr>
      <w:r>
        <w:t xml:space="preserve">The two responsive families (post_ict_response and pretreatment_function) suggest that the model has learned some causal relationships from training data, specifically those that are well-established and frequently discussed in clinical literature. The ICT response decision node and the surgery-vs-preservation trade-off based on functional status appear to be encoded in the model’s weights. However, more nuanced decision criteria (cisplatin eligibility, surgical exposure adequacy, frailty-adjusted treatment selection) are absent.</w:t>
      </w:r>
    </w:p>
    <w:p>
      <w:pPr>
        <w:pStyle w:val="Heading2"/>
      </w:pPr>
      <w:r>
        <w:t xml:space="preserve">8.4 Implications for the Study</w:t>
      </w:r>
    </w:p>
    <w:p>
      <w:pPr>
        <w:spacing w:after="120"/>
      </w:pPr>
      <w:r>
        <w:t xml:space="preserve">These findings validate the methodology: the counterfactual vignette battery successfully discriminates between areas where the model has and has not internalised causal relationships. The null perturbation specificity (0/51 false positives) confirms the battery’s reliability. The clear hierarchy of family-level sensitivity (post_ict_response &gt;&gt; pretreatment_function &gt;&gt; everything else) provides a structured map of the model’s clinical reasoning capabilities and gaps.</w:t>
      </w:r>
    </w:p>
    <w:p>
      <w:pPr>
        <w:spacing w:after="200"/>
      </w:pPr>
      <w:r>
        <w:t xml:space="preserve">For the broader study, these results establish a baseline against which larger or more capable models (e.g., Llama 3.1-70B, GPT-4, Claude) can be benchmarked. The expectation is that more capable models will show higher edge detection rates, better exclusion accuracy, and more clinically appropriate directional sensitivity.</w:t>
      </w:r>
    </w:p>
    <w:p>
      <w:pPr>
        <w:pStyle w:val="Heading1"/>
      </w:pPr>
      <w:r>
        <w:t xml:space="preserve">9. Limitations</w:t>
      </w:r>
    </w:p>
    <w:p>
      <w:pPr>
        <w:pStyle w:val="ListParagraph"/>
        <w:numPr>
          <w:ilvl w:val="0"/>
          <w:numId w:val="2"/>
        </w:numPr>
        <w:spacing w:after="80"/>
      </w:pPr>
      <w:r>
        <w:rPr>
          <w:b/>
          <w:bCs/>
        </w:rPr>
        <w:t xml:space="preserve">Single model: </w:t>
      </w:r>
      <w:r>
        <w:t xml:space="preserve">This analysis covers only Llama 3.1-8B. Comparative analysis with larger models is needed to determine whether the observed insensitivity is model-size-dependent or architecture-dependent.</w:t>
      </w:r>
    </w:p>
    <w:p>
      <w:pPr>
        <w:pStyle w:val="ListParagraph"/>
        <w:numPr>
          <w:ilvl w:val="0"/>
          <w:numId w:val="2"/>
        </w:numPr>
        <w:spacing w:after="80"/>
      </w:pPr>
      <w:r>
        <w:rPr>
          <w:b/>
          <w:bCs/>
        </w:rPr>
        <w:t xml:space="preserve">Temperature sensitivity: </w:t>
      </w:r>
      <w:r>
        <w:t xml:space="preserve">All runs used temperature 0.6. Different temperature settings could affect the distribution of stances and the sensitivity of edge detection.</w:t>
      </w:r>
    </w:p>
    <w:p>
      <w:pPr>
        <w:pStyle w:val="ListParagraph"/>
        <w:numPr>
          <w:ilvl w:val="0"/>
          <w:numId w:val="2"/>
        </w:numPr>
        <w:spacing w:after="80"/>
      </w:pPr>
      <w:r>
        <w:rPr>
          <w:b/>
          <w:bCs/>
        </w:rPr>
        <w:t xml:space="preserve">Parser limitations: </w:t>
      </w:r>
      <w:r>
        <w:t xml:space="preserve">The stance extraction parser relies on keyword and pattern matching. While validated with structured labels (13.1% of stances at 0.98 confidence), the remaining stances are inferred from context and may contain classification errors.</w:t>
      </w:r>
    </w:p>
    <w:p>
      <w:pPr>
        <w:pStyle w:val="ListParagraph"/>
        <w:numPr>
          <w:ilvl w:val="0"/>
          <w:numId w:val="2"/>
        </w:numPr>
        <w:spacing w:after="80"/>
      </w:pPr>
      <w:r>
        <w:rPr>
          <w:b/>
          <w:bCs/>
        </w:rPr>
        <w:t xml:space="preserve">Binary edge testing: </w:t>
      </w:r>
      <w:r>
        <w:t xml:space="preserve">The current Fisher’s exact test uses a recommended-vs-not-recommended binary, which may miss shifts between other stance categories (e.g., excluded to conditional).</w:t>
      </w:r>
    </w:p>
    <w:p>
      <w:pPr>
        <w:pStyle w:val="ListParagraph"/>
        <w:numPr>
          <w:ilvl w:val="0"/>
          <w:numId w:val="2"/>
        </w:numPr>
        <w:spacing w:after="80"/>
      </w:pPr>
      <w:r>
        <w:rPr>
          <w:b/>
          <w:bCs/>
        </w:rPr>
        <w:t xml:space="preserve">Training data contamination: </w:t>
      </w:r>
      <w:r>
        <w:t xml:space="preserve">If the model has seen the Ferrari et al. Delphi content during training, the results could partially reflect memorised associations rather than genuine clinical reasoning. The counterfactual design mitigates this, but does not eliminate it.</w:t>
      </w:r>
    </w:p>
    <w:sectPr>
      <w:headerReference w:type="default" r:id="rId7"/>
      <w:footerReference w:type="default" r:id="rId8"/>
      <w:pgSz w:w="12240" w:h="15840"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026"/>
      </w:tabs>
    </w:pPr>
    <w:r>
      <w:rPr>
        <w:rFonts w:ascii="Arial" w:cs="Arial" w:eastAsia="Arial" w:hAnsi="Arial"/>
        <w:i/>
        <w:iCs/>
        <w:color w:val="999999"/>
        <w:sz w:val="16"/>
        <w:szCs w:val="16"/>
      </w:rPr>
      <w:t xml:space="preserve">Llama 3.1-8B Causal Sensitivity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B5797"/>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B5797"/>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2026-03-09T14:06:36.786Z</dcterms:created>
  <dcterms:modified xsi:type="dcterms:W3CDTF">2026-03-09T14:06:36.786Z</dcterms:modified>
</cp:coreProperties>
</file>

<file path=docProps/custom.xml><?xml version="1.0" encoding="utf-8"?>
<Properties xmlns="http://schemas.openxmlformats.org/officeDocument/2006/custom-properties" xmlns:vt="http://schemas.openxmlformats.org/officeDocument/2006/docPropsVTypes"/>
</file>