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1. Estrategia comercial</w:t>
      </w:r>
    </w:p>
    <w:p>
      <w:r>
        <w:t>¿Qué factores explican el crecimiento de una empresa en un mercado competitivo? Según el Dr. Pérez, en 2025 las ventas aumentaron 32 % y el margen operativo llegó a 18,5 %, lo que equivale a $1.500.000 por cliente.</w:t>
      </w:r>
    </w:p>
    <w:p>
      <w:r>
        <w:t>Sin embargo, la directora advirtió: ¡no podemos confiarnos! La competencia regional se intensificó durante el segundo semestre, y las ventajas obtenidas podían desaparecer con rapidez si no se invertía en innovación y en la formación de los equipos comerciales.</w:t>
      </w:r>
    </w:p>
    <w:p>
      <w:r>
        <w:br w:type="page"/>
      </w:r>
    </w:p>
    <w:p>
      <w:pPr>
        <w:pStyle w:val="Heading1"/>
      </w:pPr>
      <w:r>
        <w:t>Capítulo 2. Caso práctico</w:t>
      </w:r>
    </w:p>
    <w:p>
      <w:r>
        <w:t>Para el análisis del caso, los estudiantes deberán identificar a los actores principales, describir sus intereses, comparar las alternativas disponibles (p. ej., expansión o consolidación) y justificar cuál resulta más conveniente.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