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consumo de energía eléctrica cambió de forma desigual entre sectores durante el último año, según el informe de la empresa distribuidora.</w:t>
      </w:r>
    </w:p>
    <w:p>
      <w:r>
        <w:t>Tabla 1. Consumo de energía por sector,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(GWh)</w:t>
            </w:r>
          </w:p>
        </w:tc>
        <w:tc>
          <w:tcPr>
            <w:tcW w:type="dxa" w:w="2160"/>
          </w:tcPr>
          <w:p>
            <w:r>
              <w:t>Variación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</w:tr>
      <w:tr>
        <w:tc>
          <w:tcPr>
            <w:tcW w:type="dxa" w:w="2160"/>
          </w:tcPr>
          <w:p>
            <w:r>
              <w:t>Residencial</w:t>
            </w:r>
          </w:p>
        </w:tc>
        <w:tc>
          <w:tcPr>
            <w:tcW w:type="dxa" w:w="2160"/>
          </w:tcPr>
          <w:p>
            <w:r>
              <w:t>1.250</w:t>
            </w:r>
          </w:p>
        </w:tc>
        <w:tc>
          <w:tcPr>
            <w:tcW w:type="dxa" w:w="2160"/>
          </w:tcPr>
          <w:p>
            <w:r>
              <w:t>6,5 %</w:t>
            </w:r>
          </w:p>
        </w:tc>
        <w:tc>
          <w:tcPr>
            <w:tcW w:type="dxa" w:w="2160"/>
          </w:tcPr>
          <w:p>
            <w:r>
              <w:t>2.300.000</w:t>
            </w:r>
          </w:p>
        </w:tc>
      </w:tr>
      <w:tr>
        <w:tc>
          <w:tcPr>
            <w:tcW w:type="dxa" w:w="2160"/>
          </w:tcPr>
          <w:p>
            <w:r>
              <w:t>Comercial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3,1 %</w:t>
            </w:r>
          </w:p>
        </w:tc>
        <w:tc>
          <w:tcPr>
            <w:tcW w:type="dxa" w:w="2160"/>
          </w:tcPr>
          <w:p>
            <w:r>
              <w:t>310.000</w:t>
            </w:r>
          </w:p>
        </w:tc>
      </w:tr>
      <w:tr>
        <w:tc>
          <w:tcPr>
            <w:tcW w:type="dxa" w:w="2160"/>
          </w:tcPr>
          <w:p>
            <w:r>
              <w:t>Industrial</w:t>
            </w:r>
          </w:p>
        </w:tc>
        <w:tc>
          <w:tcPr>
            <w:tcW w:type="dxa" w:w="2160"/>
          </w:tcPr>
          <w:p>
            <w:r>
              <w:t>2.100</w:t>
            </w:r>
          </w:p>
        </w:tc>
        <w:tc>
          <w:tcPr>
            <w:tcW w:type="dxa" w:w="2160"/>
          </w:tcPr>
          <w:p>
            <w:r>
              <w:t>1,2 %</w:t>
            </w:r>
          </w:p>
        </w:tc>
        <w:tc>
          <w:tcPr>
            <w:tcW w:type="dxa" w:w="2160"/>
          </w:tcPr>
          <w:p>
            <w:r>
              <w:t>12.500</w:t>
            </w:r>
          </w:p>
        </w:tc>
      </w:tr>
      <w:tr>
        <w:tc>
          <w:tcPr>
            <w:tcW w:type="dxa" w:w="2160"/>
          </w:tcPr>
          <w:p>
            <w:r>
              <w:t>Oficial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-0,8 %</w:t>
            </w:r>
          </w:p>
        </w:tc>
        <w:tc>
          <w:tcPr>
            <w:tcW w:type="dxa" w:w="2160"/>
          </w:tcPr>
          <w:p>
            <w:r>
              <w:t>4.100</w:t>
            </w:r>
          </w:p>
        </w:tc>
      </w:tr>
    </w:tbl>
    <w:p>
      <w:r>
        <w:t>Como se observa, el sector industrial sigue siendo el mayor consumidor, aunque el residencial fue el que más creció.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