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595959"/>
          <w:sz w:val="22"/>
        </w:rPr>
        <w:t>MÓDULO IV — DESARROLLO FULLSTACK</w:t>
      </w:r>
    </w:p>
    <w:p>
      <w:pPr>
        <w:spacing w:after="40"/>
        <w:jc w:val="center"/>
      </w:pPr>
      <w:r>
        <w:rPr>
          <w:b/>
          <w:color w:val="1F4E79"/>
          <w:sz w:val="60"/>
        </w:rPr>
        <w:t>SESIÓN 8</w:t>
      </w:r>
    </w:p>
    <w:p>
      <w:pPr>
        <w:spacing w:after="120"/>
        <w:jc w:val="center"/>
      </w:pPr>
      <w:r>
        <w:rPr>
          <w:b/>
          <w:i w:val="0"/>
          <w:sz w:val="32"/>
        </w:rPr>
        <w:t>Observabilidad, Integración Total y Proyecto Final</w:t>
      </w:r>
    </w:p>
    <w:p>
      <w:pPr>
        <w:spacing w:after="520"/>
        <w:jc w:val="center"/>
      </w:pPr>
      <w:r>
        <w:rPr>
          <w:b w:val="0"/>
          <w:i/>
          <w:color w:val="595959"/>
          <w:sz w:val="24"/>
        </w:rPr>
        <w:t>Verificación de Integración Total y preparación de la Certificación en Vivo</w:t>
      </w:r>
    </w:p>
    <w:tbl>
      <w:tblPr>
        <w:tblW w:type="auto" w:w="0"/>
        <w:jc w:val="center"/>
        <w:tblLook w:firstColumn="1" w:firstRow="1" w:lastColumn="0" w:lastRow="0" w:noHBand="0" w:noVBand="1" w:val="04A0"/>
      </w:tblPr>
      <w:tblGrid>
        <w:gridCol w:w="4680"/>
        <w:gridCol w:w="4680"/>
      </w:tblGrid>
      <w:tr>
        <w:tc>
          <w:tcPr>
            <w:tcW w:type="dxa" w:w="2448"/>
          </w:tcPr>
          <w:p>
            <w:pPr>
              <w:spacing w:after="80"/>
            </w:pPr>
            <w:r>
              <w:rPr>
                <w:b/>
                <w:color w:val="1F4E79"/>
                <w:sz w:val="22"/>
              </w:rPr>
              <w:t>Estudiante</w:t>
            </w:r>
          </w:p>
        </w:tc>
        <w:tc>
          <w:tcPr>
            <w:tcW w:type="dxa" w:w="6192"/>
          </w:tcPr>
          <w:p>
            <w:pPr>
              <w:spacing w:after="80"/>
            </w:pPr>
            <w:r>
              <w:rPr>
                <w:sz w:val="22"/>
              </w:rPr>
              <w:t>Albert Omar Araya Cory</w:t>
            </w:r>
          </w:p>
        </w:tc>
      </w:tr>
      <w:tr>
        <w:tc>
          <w:tcPr>
            <w:tcW w:type="dxa" w:w="2448"/>
          </w:tcPr>
          <w:p>
            <w:pPr>
              <w:spacing w:after="80"/>
            </w:pPr>
            <w:r>
              <w:rPr>
                <w:b/>
                <w:color w:val="1F4E79"/>
                <w:sz w:val="22"/>
              </w:rPr>
              <w:t>Repositorio</w:t>
            </w:r>
          </w:p>
        </w:tc>
        <w:tc>
          <w:tcPr>
            <w:tcW w:type="dxa" w:w="6192"/>
          </w:tcPr>
          <w:p>
            <w:pPr>
              <w:spacing w:after="80"/>
            </w:pPr>
            <w:r>
              <w:rPr>
                <w:sz w:val="22"/>
              </w:rPr>
              <w:t>github.com/albrtaraya/fullstack-lab-1-1ci-cd</w:t>
            </w:r>
          </w:p>
        </w:tc>
      </w:tr>
      <w:tr>
        <w:tc>
          <w:tcPr>
            <w:tcW w:type="dxa" w:w="2448"/>
          </w:tcPr>
          <w:p>
            <w:pPr>
              <w:spacing w:after="80"/>
            </w:pPr>
            <w:r>
              <w:rPr>
                <w:b/>
                <w:color w:val="1F4E79"/>
                <w:sz w:val="22"/>
              </w:rPr>
              <w:t>Prueba de fuego</w:t>
            </w:r>
          </w:p>
        </w:tc>
        <w:tc>
          <w:tcPr>
            <w:tcW w:type="dxa" w:w="6192"/>
          </w:tcPr>
          <w:p>
            <w:pPr>
              <w:spacing w:after="80"/>
            </w:pPr>
            <w:r>
              <w:rPr>
                <w:sz w:val="22"/>
              </w:rPr>
              <w:t>PR #11 (frontend) y PR #17 (API)</w:t>
            </w:r>
          </w:p>
        </w:tc>
      </w:tr>
      <w:tr>
        <w:tc>
          <w:tcPr>
            <w:tcW w:type="dxa" w:w="2448"/>
          </w:tcPr>
          <w:p>
            <w:pPr>
              <w:spacing w:after="80"/>
            </w:pPr>
            <w:r>
              <w:rPr>
                <w:b/>
                <w:color w:val="1F4E79"/>
                <w:sz w:val="22"/>
              </w:rPr>
              <w:t>Staging</w:t>
            </w:r>
          </w:p>
        </w:tc>
        <w:tc>
          <w:tcPr>
            <w:tcW w:type="dxa" w:w="6192"/>
          </w:tcPr>
          <w:p>
            <w:pPr>
              <w:spacing w:after="80"/>
            </w:pPr>
            <w:r>
              <w:rPr>
                <w:sz w:val="22"/>
              </w:rPr>
              <w:t>fullstack-lab-1-1ci-cd-staging.up.railway.app</w:t>
            </w:r>
          </w:p>
        </w:tc>
      </w:tr>
      <w:tr>
        <w:tc>
          <w:tcPr>
            <w:tcW w:type="dxa" w:w="2448"/>
          </w:tcPr>
          <w:p>
            <w:pPr>
              <w:spacing w:after="80"/>
            </w:pPr>
            <w:r>
              <w:rPr>
                <w:b/>
                <w:color w:val="1F4E79"/>
                <w:sz w:val="22"/>
              </w:rPr>
              <w:t>Modalidad</w:t>
            </w:r>
          </w:p>
        </w:tc>
        <w:tc>
          <w:tcPr>
            <w:tcW w:type="dxa" w:w="6192"/>
          </w:tcPr>
          <w:p>
            <w:pPr>
              <w:spacing w:after="80"/>
            </w:pPr>
            <w:r>
              <w:rPr>
                <w:sz w:val="22"/>
              </w:rPr>
              <w:t>Individual</w:t>
            </w:r>
          </w:p>
        </w:tc>
      </w:tr>
      <w:tr>
        <w:tc>
          <w:tcPr>
            <w:tcW w:type="dxa" w:w="2448"/>
          </w:tcPr>
          <w:p>
            <w:pPr>
              <w:spacing w:after="80"/>
            </w:pPr>
            <w:r>
              <w:rPr>
                <w:b/>
                <w:color w:val="1F4E79"/>
                <w:sz w:val="22"/>
              </w:rPr>
              <w:t>Fecha</w:t>
            </w:r>
          </w:p>
        </w:tc>
        <w:tc>
          <w:tcPr>
            <w:tcW w:type="dxa" w:w="6192"/>
          </w:tcPr>
          <w:p>
            <w:pPr>
              <w:spacing w:after="80"/>
            </w:pPr>
            <w:r>
              <w:rPr>
                <w:sz w:val="22"/>
              </w:rPr>
              <w:t>22 de septiembre de 2026</w:t>
            </w:r>
          </w:p>
        </w:tc>
      </w:tr>
    </w:tbl>
    <w:p/>
    <w:p/>
    <w:p/>
    <w:p>
      <w:pPr>
        <w:spacing w:after="80"/>
        <w:jc w:val="center"/>
      </w:pPr>
      <w:r>
        <w:rPr>
          <w:b/>
          <w:i w:val="0"/>
          <w:color w:val="1F4E79"/>
          <w:sz w:val="24"/>
        </w:rPr>
        <w:t>Estado</w:t>
      </w:r>
    </w:p>
    <w:p>
      <w:pPr>
        <w:spacing w:after="40"/>
        <w:jc w:val="center"/>
      </w:pPr>
      <w:r>
        <w:rPr>
          <w:b/>
          <w:i w:val="0"/>
          <w:color w:val="1E7B34"/>
          <w:sz w:val="22"/>
        </w:rPr>
        <w:t>Las 7 etapas verificadas · Prueba de fuego completa hasta staging</w:t>
      </w:r>
    </w:p>
    <w:p>
      <w:pPr>
        <w:spacing w:after="80"/>
        <w:jc w:val="center"/>
      </w:pPr>
      <w:r>
        <w:rPr>
          <w:b/>
          <w:i w:val="0"/>
          <w:color w:val="1E7B34"/>
          <w:sz w:val="20"/>
        </w:rPr>
        <w:t>Guion de la demo y rúbrica de auditoría preparados</w:t>
      </w:r>
    </w:p>
    <w:p>
      <w:r>
        <w:br w:type="page"/>
      </w:r>
    </w:p>
    <w:p>
      <w:pPr>
        <w:pStyle w:val="Heading1"/>
      </w:pPr>
      <w:r>
        <w:t>Resumen de ejecución</w:t>
      </w:r>
    </w:p>
    <w:p>
      <w:pPr>
        <w:spacing w:after="120"/>
      </w:pPr>
      <w:r>
        <w:rPr>
          <w:b w:val="0"/>
          <w:i w:val="0"/>
          <w:sz w:val="22"/>
        </w:rPr>
        <w:t>La Sesión 8 no trae conceptos nuevos. Su propósito es comprobar que las siete piezas construidas en las Sesiones 1 a 7 funcionan juntas como un sistema, y ensayar la demostración en vivo.</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val="clear" w:color="auto" w:fill="1F4E79"/>
          </w:tcPr>
          <w:p>
            <w:pPr>
              <w:spacing w:after="40"/>
            </w:pPr>
            <w:r/>
            <w:r>
              <w:rPr>
                <w:b/>
                <w:color w:val="FFFFFF"/>
                <w:sz w:val="20"/>
              </w:rPr>
              <w:t>Sección</w:t>
            </w:r>
          </w:p>
        </w:tc>
        <w:tc>
          <w:tcPr>
            <w:tcW w:type="dxa" w:w="5904"/>
            <w:shd w:val="clear" w:color="auto" w:fill="1F4E79"/>
          </w:tcPr>
          <w:p>
            <w:pPr>
              <w:spacing w:after="40"/>
            </w:pPr>
            <w:r/>
            <w:r>
              <w:rPr>
                <w:b/>
                <w:color w:val="FFFFFF"/>
                <w:sz w:val="20"/>
              </w:rPr>
              <w:t>Contenido</w:t>
            </w:r>
          </w:p>
        </w:tc>
        <w:tc>
          <w:tcPr>
            <w:tcW w:type="dxa" w:w="2160"/>
            <w:shd w:val="clear" w:color="auto" w:fill="1F4E79"/>
          </w:tcPr>
          <w:p>
            <w:pPr>
              <w:spacing w:after="40"/>
            </w:pPr>
            <w:r/>
            <w:r>
              <w:rPr>
                <w:b/>
                <w:color w:val="FFFFFF"/>
                <w:sz w:val="20"/>
              </w:rPr>
              <w:t>Estado</w:t>
            </w:r>
          </w:p>
        </w:tc>
      </w:tr>
      <w:tr>
        <w:tc>
          <w:tcPr>
            <w:tcW w:type="dxa" w:w="1296"/>
          </w:tcPr>
          <w:p>
            <w:pPr>
              <w:spacing w:after="40"/>
            </w:pPr>
            <w:r/>
            <w:r>
              <w:rPr>
                <w:sz w:val="20"/>
              </w:rPr>
              <w:t>1</w:t>
            </w:r>
          </w:p>
        </w:tc>
        <w:tc>
          <w:tcPr>
            <w:tcW w:type="dxa" w:w="5904"/>
          </w:tcPr>
          <w:p>
            <w:pPr>
              <w:spacing w:after="40"/>
            </w:pPr>
            <w:r/>
            <w:r>
              <w:rPr>
                <w:sz w:val="20"/>
              </w:rPr>
              <w:t>Laboratorio final: Verificación de Integración Total</w:t>
            </w:r>
          </w:p>
        </w:tc>
        <w:tc>
          <w:tcPr>
            <w:tcW w:type="dxa" w:w="2160"/>
          </w:tcPr>
          <w:p>
            <w:pPr>
              <w:spacing w:after="40"/>
            </w:pPr>
            <w:r/>
            <w:r>
              <w:rPr>
                <w:b/>
                <w:color w:val="1E7B34"/>
                <w:sz w:val="20"/>
              </w:rPr>
              <w:t>Cumplido</w:t>
            </w:r>
          </w:p>
        </w:tc>
      </w:tr>
      <w:tr>
        <w:tc>
          <w:tcPr>
            <w:tcW w:type="dxa" w:w="1296"/>
          </w:tcPr>
          <w:p>
            <w:pPr>
              <w:spacing w:after="40"/>
            </w:pPr>
            <w:r/>
            <w:r>
              <w:rPr>
                <w:sz w:val="20"/>
              </w:rPr>
              <w:t>2</w:t>
            </w:r>
          </w:p>
        </w:tc>
        <w:tc>
          <w:tcPr>
            <w:tcW w:type="dxa" w:w="5904"/>
          </w:tcPr>
          <w:p>
            <w:pPr>
              <w:spacing w:after="40"/>
            </w:pPr>
            <w:r/>
            <w:r>
              <w:rPr>
                <w:sz w:val="20"/>
              </w:rPr>
              <w:t>Preparación de la presentación en vivo</w:t>
            </w:r>
          </w:p>
        </w:tc>
        <w:tc>
          <w:tcPr>
            <w:tcW w:type="dxa" w:w="2160"/>
          </w:tcPr>
          <w:p>
            <w:pPr>
              <w:spacing w:after="40"/>
            </w:pPr>
            <w:r/>
            <w:r>
              <w:rPr>
                <w:sz w:val="20"/>
              </w:rPr>
              <w:t>Preparado</w:t>
            </w:r>
          </w:p>
        </w:tc>
      </w:tr>
      <w:tr>
        <w:tc>
          <w:tcPr>
            <w:tcW w:type="dxa" w:w="1296"/>
          </w:tcPr>
          <w:p>
            <w:pPr>
              <w:spacing w:after="40"/>
            </w:pPr>
            <w:r/>
            <w:r>
              <w:rPr>
                <w:sz w:val="20"/>
              </w:rPr>
              <w:t>3</w:t>
            </w:r>
          </w:p>
        </w:tc>
        <w:tc>
          <w:tcPr>
            <w:tcW w:type="dxa" w:w="5904"/>
          </w:tcPr>
          <w:p>
            <w:pPr>
              <w:spacing w:after="40"/>
            </w:pPr>
            <w:r/>
            <w:r>
              <w:rPr>
                <w:sz w:val="20"/>
              </w:rPr>
              <w:t>Rol de auditor en la Certificación en Vivo</w:t>
            </w:r>
          </w:p>
        </w:tc>
        <w:tc>
          <w:tcPr>
            <w:tcW w:type="dxa" w:w="2160"/>
          </w:tcPr>
          <w:p>
            <w:pPr>
              <w:spacing w:after="40"/>
            </w:pPr>
            <w:r/>
            <w:r>
              <w:rPr>
                <w:sz w:val="20"/>
              </w:rPr>
              <w:t>Preparado</w:t>
            </w:r>
          </w:p>
        </w:tc>
      </w:tr>
      <w:tr>
        <w:tc>
          <w:tcPr>
            <w:tcW w:type="dxa" w:w="1296"/>
          </w:tcPr>
          <w:p>
            <w:pPr>
              <w:spacing w:after="40"/>
            </w:pPr>
            <w:r/>
            <w:r>
              <w:rPr>
                <w:sz w:val="20"/>
              </w:rPr>
              <w:t>4</w:t>
            </w:r>
          </w:p>
        </w:tc>
        <w:tc>
          <w:tcPr>
            <w:tcW w:type="dxa" w:w="5904"/>
          </w:tcPr>
          <w:p>
            <w:pPr>
              <w:spacing w:after="40"/>
            </w:pPr>
            <w:r/>
            <w:r>
              <w:rPr>
                <w:sz w:val="20"/>
              </w:rPr>
              <w:t>Rúbrica de Certificación en Vivo</w:t>
            </w:r>
          </w:p>
        </w:tc>
        <w:tc>
          <w:tcPr>
            <w:tcW w:type="dxa" w:w="2160"/>
          </w:tcPr>
          <w:p>
            <w:pPr>
              <w:spacing w:after="40"/>
            </w:pPr>
            <w:r/>
            <w:r>
              <w:rPr>
                <w:sz w:val="20"/>
              </w:rPr>
              <w:t>Autoevaluada</w:t>
            </w:r>
          </w:p>
        </w:tc>
      </w:tr>
    </w:tbl>
    <w:p>
      <w:pPr>
        <w:spacing w:after="40"/>
      </w:pPr>
    </w:p>
    <w:p>
      <w:pPr>
        <w:spacing w:after="120"/>
      </w:pPr>
      <w:r>
        <w:rPr>
          <w:b/>
        </w:rPr>
        <w:t xml:space="preserve">Lo más valioso del ensayo: </w:t>
      </w:r>
      <w:r>
        <w:t>verificar de verdad, y no solo revisar que las cosas existan, sacó a la luz un defecto real que ninguna sesión anterior había detectado. La imagen del backend construida desde main no arrancaba. Se detalla en la etapa 5.</w:t>
      </w:r>
    </w:p>
    <w:p>
      <w:r>
        <w:br w:type="page"/>
      </w:r>
    </w:p>
    <w:p>
      <w:pPr>
        <w:pStyle w:val="Heading1"/>
      </w:pPr>
      <w:r>
        <w:t>1. Laboratorio final — Verificación de Integración Total</w:t>
      </w:r>
    </w:p>
    <w:p>
      <w:pPr>
        <w:pStyle w:val="Heading2"/>
      </w:pPr>
      <w:r>
        <w:t>1.1 — El checklist de las 7 etapas</w:t>
      </w:r>
    </w:p>
    <w:p>
      <w:pPr>
        <w:spacing w:after="120"/>
      </w:pPr>
      <w:r>
        <w:rPr>
          <w:b w:val="0"/>
          <w:i w:val="0"/>
          <w:sz w:val="22"/>
        </w:rPr>
        <w:t>Se recorrió cada etapa en orden, sin avanzar hasta confirmar la anterior. Cada una se ejecutó en el equipo local y también en el pipeline.</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1F4E79"/>
          </w:tcPr>
          <w:p>
            <w:pPr>
              <w:spacing w:after="40"/>
            </w:pPr>
            <w:r/>
            <w:r>
              <w:rPr>
                <w:b/>
                <w:color w:val="FFFFFF"/>
                <w:sz w:val="20"/>
              </w:rPr>
              <w:t>Etapa</w:t>
            </w:r>
          </w:p>
        </w:tc>
        <w:tc>
          <w:tcPr>
            <w:tcW w:type="dxa" w:w="5472"/>
            <w:shd w:val="clear" w:color="auto" w:fill="1F4E79"/>
          </w:tcPr>
          <w:p>
            <w:pPr>
              <w:spacing w:after="40"/>
            </w:pPr>
            <w:r/>
            <w:r>
              <w:rPr>
                <w:b/>
                <w:color w:val="FFFFFF"/>
                <w:sz w:val="20"/>
              </w:rPr>
              <w:t>Qué hace, en una frase</w:t>
            </w:r>
          </w:p>
        </w:tc>
        <w:tc>
          <w:tcPr>
            <w:tcW w:type="dxa" w:w="2016"/>
            <w:shd w:val="clear" w:color="auto" w:fill="1F4E79"/>
          </w:tcPr>
          <w:p>
            <w:pPr>
              <w:spacing w:after="40"/>
            </w:pPr>
            <w:r/>
            <w:r>
              <w:rPr>
                <w:b/>
                <w:color w:val="FFFFFF"/>
                <w:sz w:val="20"/>
              </w:rPr>
              <w:t>Resultado</w:t>
            </w:r>
          </w:p>
        </w:tc>
      </w:tr>
      <w:tr>
        <w:tc>
          <w:tcPr>
            <w:tcW w:type="dxa" w:w="1872"/>
          </w:tcPr>
          <w:p>
            <w:pPr>
              <w:spacing w:after="40"/>
            </w:pPr>
            <w:r/>
            <w:r>
              <w:rPr>
                <w:sz w:val="20"/>
              </w:rPr>
              <w:t>1. Lint</w:t>
            </w:r>
          </w:p>
        </w:tc>
        <w:tc>
          <w:tcPr>
            <w:tcW w:type="dxa" w:w="5472"/>
          </w:tcPr>
          <w:p>
            <w:pPr>
              <w:spacing w:after="40"/>
            </w:pPr>
            <w:r/>
            <w:r>
              <w:rPr>
                <w:sz w:val="20"/>
              </w:rPr>
              <w:t>ESLint revisa el estilo y los errores comunes en cada push y PR</w:t>
            </w:r>
          </w:p>
        </w:tc>
        <w:tc>
          <w:tcPr>
            <w:tcW w:type="dxa" w:w="2016"/>
          </w:tcPr>
          <w:p>
            <w:pPr>
              <w:spacing w:after="40"/>
            </w:pPr>
            <w:r/>
            <w:r>
              <w:rPr>
                <w:sz w:val="20"/>
              </w:rPr>
              <w:t>Sin hallazgos</w:t>
            </w:r>
          </w:p>
        </w:tc>
      </w:tr>
      <w:tr>
        <w:tc>
          <w:tcPr>
            <w:tcW w:type="dxa" w:w="1872"/>
          </w:tcPr>
          <w:p>
            <w:pPr>
              <w:spacing w:after="40"/>
            </w:pPr>
            <w:r/>
            <w:r>
              <w:rPr>
                <w:sz w:val="20"/>
              </w:rPr>
              <w:t>2. Pruebas</w:t>
            </w:r>
          </w:p>
        </w:tc>
        <w:tc>
          <w:tcPr>
            <w:tcW w:type="dxa" w:w="5472"/>
          </w:tcPr>
          <w:p>
            <w:pPr>
              <w:spacing w:after="40"/>
            </w:pPr>
            <w:r/>
            <w:r>
              <w:rPr>
                <w:sz w:val="20"/>
              </w:rPr>
              <w:t>Vitest ejecuta las pruebas unitarias, de componente y de API, con umbrales de cobertura</w:t>
            </w:r>
          </w:p>
        </w:tc>
        <w:tc>
          <w:tcPr>
            <w:tcW w:type="dxa" w:w="2016"/>
          </w:tcPr>
          <w:p>
            <w:pPr>
              <w:spacing w:after="40"/>
            </w:pPr>
            <w:r/>
            <w:r>
              <w:rPr>
                <w:sz w:val="20"/>
              </w:rPr>
              <w:t>62/62, luego 65/65</w:t>
            </w:r>
          </w:p>
        </w:tc>
      </w:tr>
      <w:tr>
        <w:tc>
          <w:tcPr>
            <w:tcW w:type="dxa" w:w="1872"/>
          </w:tcPr>
          <w:p>
            <w:pPr>
              <w:spacing w:after="40"/>
            </w:pPr>
            <w:r/>
            <w:r>
              <w:rPr>
                <w:sz w:val="20"/>
              </w:rPr>
              <w:t>3. E2E</w:t>
            </w:r>
          </w:p>
        </w:tc>
        <w:tc>
          <w:tcPr>
            <w:tcW w:type="dxa" w:w="5472"/>
          </w:tcPr>
          <w:p>
            <w:pPr>
              <w:spacing w:after="40"/>
            </w:pPr>
            <w:r/>
            <w:r>
              <w:rPr>
                <w:sz w:val="20"/>
              </w:rPr>
              <w:t>Playwright recorre el flujo feliz en un navegador real</w:t>
            </w:r>
          </w:p>
        </w:tc>
        <w:tc>
          <w:tcPr>
            <w:tcW w:type="dxa" w:w="2016"/>
          </w:tcPr>
          <w:p>
            <w:pPr>
              <w:spacing w:after="40"/>
            </w:pPr>
            <w:r/>
            <w:r>
              <w:rPr>
                <w:sz w:val="20"/>
              </w:rPr>
              <w:t>5/5</w:t>
            </w:r>
          </w:p>
        </w:tc>
      </w:tr>
      <w:tr>
        <w:tc>
          <w:tcPr>
            <w:tcW w:type="dxa" w:w="1872"/>
          </w:tcPr>
          <w:p>
            <w:pPr>
              <w:spacing w:after="40"/>
            </w:pPr>
            <w:r/>
            <w:r>
              <w:rPr>
                <w:sz w:val="20"/>
              </w:rPr>
              <w:t>4. Build</w:t>
            </w:r>
          </w:p>
        </w:tc>
        <w:tc>
          <w:tcPr>
            <w:tcW w:type="dxa" w:w="5472"/>
          </w:tcPr>
          <w:p>
            <w:pPr>
              <w:spacing w:after="40"/>
            </w:pPr>
            <w:r/>
            <w:r>
              <w:rPr>
                <w:sz w:val="20"/>
              </w:rPr>
              <w:t>Astro genera el sitio estático sin errores</w:t>
            </w:r>
          </w:p>
        </w:tc>
        <w:tc>
          <w:tcPr>
            <w:tcW w:type="dxa" w:w="2016"/>
          </w:tcPr>
          <w:p>
            <w:pPr>
              <w:spacing w:after="40"/>
            </w:pPr>
            <w:r/>
            <w:r>
              <w:rPr>
                <w:sz w:val="20"/>
              </w:rPr>
              <w:t>1 página, 253 KB</w:t>
            </w:r>
          </w:p>
        </w:tc>
      </w:tr>
      <w:tr>
        <w:tc>
          <w:tcPr>
            <w:tcW w:type="dxa" w:w="1872"/>
          </w:tcPr>
          <w:p>
            <w:pPr>
              <w:spacing w:after="40"/>
            </w:pPr>
            <w:r/>
            <w:r>
              <w:rPr>
                <w:sz w:val="20"/>
              </w:rPr>
              <w:t>5. Contenedores</w:t>
            </w:r>
          </w:p>
        </w:tc>
        <w:tc>
          <w:tcPr>
            <w:tcW w:type="dxa" w:w="5472"/>
          </w:tcPr>
          <w:p>
            <w:pPr>
              <w:spacing w:after="40"/>
            </w:pPr>
            <w:r/>
            <w:r>
              <w:rPr>
                <w:sz w:val="20"/>
              </w:rPr>
              <w:t>Compose levanta PostgreSQL, API y frontend juntos</w:t>
            </w:r>
          </w:p>
        </w:tc>
        <w:tc>
          <w:tcPr>
            <w:tcW w:type="dxa" w:w="2016"/>
          </w:tcPr>
          <w:p>
            <w:pPr>
              <w:spacing w:after="40"/>
            </w:pPr>
            <w:r/>
            <w:r>
              <w:rPr>
                <w:sz w:val="20"/>
              </w:rPr>
              <w:t>3 servicios sanos</w:t>
            </w:r>
          </w:p>
        </w:tc>
      </w:tr>
      <w:tr>
        <w:tc>
          <w:tcPr>
            <w:tcW w:type="dxa" w:w="1872"/>
          </w:tcPr>
          <w:p>
            <w:pPr>
              <w:spacing w:after="40"/>
            </w:pPr>
            <w:r/>
            <w:r>
              <w:rPr>
                <w:sz w:val="20"/>
              </w:rPr>
              <w:t>6. Migraciones</w:t>
            </w:r>
          </w:p>
        </w:tc>
        <w:tc>
          <w:tcPr>
            <w:tcW w:type="dxa" w:w="5472"/>
          </w:tcPr>
          <w:p>
            <w:pPr>
              <w:spacing w:after="40"/>
            </w:pPr>
            <w:r/>
            <w:r>
              <w:rPr>
                <w:sz w:val="20"/>
              </w:rPr>
              <w:t>Se aplican solas contra una base de prueba y son idempotentes</w:t>
            </w:r>
          </w:p>
        </w:tc>
        <w:tc>
          <w:tcPr>
            <w:tcW w:type="dxa" w:w="2016"/>
          </w:tcPr>
          <w:p>
            <w:pPr>
              <w:spacing w:after="40"/>
            </w:pPr>
            <w:r/>
            <w:r>
              <w:rPr>
                <w:sz w:val="20"/>
              </w:rPr>
              <w:t>Verde en CI</w:t>
            </w:r>
          </w:p>
        </w:tc>
      </w:tr>
      <w:tr>
        <w:tc>
          <w:tcPr>
            <w:tcW w:type="dxa" w:w="1872"/>
          </w:tcPr>
          <w:p>
            <w:pPr>
              <w:spacing w:after="40"/>
            </w:pPr>
            <w:r/>
            <w:r>
              <w:rPr>
                <w:sz w:val="20"/>
              </w:rPr>
              <w:t>7. Despliegue</w:t>
            </w:r>
          </w:p>
        </w:tc>
        <w:tc>
          <w:tcPr>
            <w:tcW w:type="dxa" w:w="5472"/>
          </w:tcPr>
          <w:p>
            <w:pPr>
              <w:spacing w:after="40"/>
            </w:pPr>
            <w:r/>
            <w:r>
              <w:rPr>
                <w:sz w:val="20"/>
              </w:rPr>
              <w:t>Un merge a main despliega a staging, con rollback disponible</w:t>
            </w:r>
          </w:p>
        </w:tc>
        <w:tc>
          <w:tcPr>
            <w:tcW w:type="dxa" w:w="2016"/>
          </w:tcPr>
          <w:p>
            <w:pPr>
              <w:spacing w:after="40"/>
            </w:pPr>
            <w:r/>
            <w:r>
              <w:rPr>
                <w:sz w:val="20"/>
              </w:rPr>
              <w:t>Staging en 2:27</w:t>
            </w:r>
          </w:p>
        </w:tc>
      </w:tr>
    </w:tbl>
    <w:p>
      <w:pPr>
        <w:spacing w:after="40"/>
      </w:pPr>
    </w:p>
    <w:p>
      <w:pPr>
        <w:pStyle w:val="Heading3"/>
      </w:pPr>
      <w:r>
        <w:t>Etapa 1 — Lint</w:t>
      </w:r>
    </w:p>
    <w:p>
      <w:pPr>
        <w:spacing w:before="120" w:after="200" w:line="240" w:lineRule="auto"/>
        <w:ind w:left="216"/>
        <w:shd w:val="clear" w:color="auto" w:fill="F2F2F2"/>
      </w:pPr>
      <w:r>
        <w:rPr>
          <w:rFonts w:ascii="Consolas" w:hAnsi="Consolas" w:eastAsia="Consolas"/>
          <w:sz w:val="17"/>
        </w:rPr>
        <w:t>$ npm run lint</w:t>
        <w:br/>
      </w:r>
      <w:r>
        <w:rPr>
          <w:rFonts w:ascii="Consolas" w:hAnsi="Consolas" w:eastAsia="Consolas"/>
          <w:sz w:val="17"/>
        </w:rPr>
        <w:t>&gt; eslint .</w:t>
        <w:br/>
      </w:r>
      <w:r>
        <w:rPr>
          <w:rFonts w:ascii="Consolas" w:hAnsi="Consolas" w:eastAsia="Consolas"/>
          <w:sz w:val="17"/>
        </w:rPr>
        <w:t>exit=0</w:t>
      </w:r>
    </w:p>
    <w:p>
      <w:pPr>
        <w:pStyle w:val="Heading3"/>
      </w:pPr>
      <w:r>
        <w:t>Etapa 2 — Pruebas unitarias, de componente y de API</w:t>
      </w:r>
    </w:p>
    <w:p>
      <w:pPr>
        <w:spacing w:after="120"/>
      </w:pPr>
      <w:r>
        <w:rPr>
          <w:b w:val="0"/>
          <w:i w:val="0"/>
          <w:sz w:val="22"/>
        </w:rPr>
        <w:t>La primera corrida local falló, pero no por el código:</w:t>
      </w:r>
    </w:p>
    <w:p>
      <w:pPr>
        <w:spacing w:before="120" w:after="200" w:line="240" w:lineRule="auto"/>
        <w:ind w:left="216"/>
        <w:shd w:val="clear" w:color="auto" w:fill="F2F2F2"/>
      </w:pPr>
      <w:r>
        <w:rPr>
          <w:rFonts w:ascii="Consolas" w:hAnsi="Consolas" w:eastAsia="Consolas"/>
          <w:sz w:val="17"/>
        </w:rPr>
        <w:t>Error: [vitest-pool]: Failed to start forks worker for test files ...</w:t>
        <w:br/>
      </w:r>
      <w:r>
        <w:rPr>
          <w:rFonts w:ascii="Consolas" w:hAnsi="Consolas" w:eastAsia="Consolas"/>
          <w:sz w:val="17"/>
        </w:rPr>
        <w:t>Caused by: Error: [vitest-pool-runner]: Timeout waiting for worker to respond</w:t>
        <w:br/>
      </w:r>
      <w:r>
        <w:rPr>
          <w:rFonts w:ascii="Consolas" w:hAnsi="Consolas" w:eastAsia="Consolas"/>
          <w:sz w:val="17"/>
        </w:rPr>
        <w:t>Test Files  4 passed (4)   Tests  34 passed (34)   Errors  3 errors</w:t>
      </w:r>
    </w:p>
    <w:p>
      <w:pPr>
        <w:spacing w:after="120"/>
      </w:pPr>
      <w:r>
        <w:rPr>
          <w:b w:val="0"/>
          <w:i w:val="0"/>
          <w:sz w:val="22"/>
        </w:rPr>
        <w:t>El equipo tenía 0,9 GB libres de 15,9 GB (94,6 % en uso), con Docker corriendo. Vitest no alcanzaba a levantar un proceso por archivo. Ejecutando los archivos de uno en uno pasan todas:</w:t>
      </w:r>
    </w:p>
    <w:p>
      <w:pPr>
        <w:spacing w:before="120" w:after="200" w:line="240" w:lineRule="auto"/>
        <w:ind w:left="216"/>
        <w:shd w:val="clear" w:color="auto" w:fill="F2F2F2"/>
      </w:pPr>
      <w:r>
        <w:rPr>
          <w:rFonts w:ascii="Consolas" w:hAnsi="Consolas" w:eastAsia="Consolas"/>
          <w:sz w:val="17"/>
        </w:rPr>
        <w:t>$ npx vitest run --no-file-parallelism</w:t>
        <w:br/>
      </w:r>
      <w:r>
        <w:rPr>
          <w:rFonts w:ascii="Consolas" w:hAnsi="Consolas" w:eastAsia="Consolas"/>
          <w:sz w:val="17"/>
        </w:rPr>
        <w:t>Test Files  7 passed (7)</w:t>
        <w:br/>
      </w:r>
      <w:r>
        <w:rPr>
          <w:rFonts w:ascii="Consolas" w:hAnsi="Consolas" w:eastAsia="Consolas"/>
          <w:sz w:val="17"/>
        </w:rPr>
        <w:t xml:space="preserve">     Tests  60 passed (60)</w:t>
      </w:r>
    </w:p>
    <w:p>
      <w:pPr>
        <w:spacing w:after="120"/>
      </w:pPr>
      <w:r>
        <w:rPr>
          <w:b/>
        </w:rPr>
        <w:t xml:space="preserve">Para la demo: </w:t>
      </w:r>
      <w:r>
        <w:t>si hay que correr las pruebas en vivo en este equipo, usar --no-file-parallelism. En el pipeline no hace falta, porque los runners tienen memoria de sobra.</w:t>
      </w:r>
    </w:p>
    <w:p>
      <w:pPr>
        <w:pStyle w:val="Heading3"/>
      </w:pPr>
      <w:r>
        <w:t>Etapa 3 — Prueba E2E</w:t>
      </w:r>
    </w:p>
    <w:p>
      <w:pPr>
        <w:spacing w:after="120"/>
      </w:pPr>
      <w:r>
        <w:rPr>
          <w:b w:val="0"/>
          <w:i w:val="0"/>
          <w:sz w:val="22"/>
        </w:rPr>
        <w:t>Dos obstáculos locales, ambos del entorno y no de las pruebas: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F4E79"/>
          </w:tcPr>
          <w:p>
            <w:pPr>
              <w:spacing w:after="40"/>
            </w:pPr>
            <w:r/>
            <w:r>
              <w:rPr>
                <w:b/>
                <w:color w:val="FFFFFF"/>
                <w:sz w:val="20"/>
              </w:rPr>
              <w:t>Síntoma</w:t>
            </w:r>
          </w:p>
        </w:tc>
        <w:tc>
          <w:tcPr>
            <w:tcW w:type="dxa" w:w="4032"/>
            <w:shd w:val="clear" w:color="auto" w:fill="1F4E79"/>
          </w:tcPr>
          <w:p>
            <w:pPr>
              <w:spacing w:after="40"/>
            </w:pPr>
            <w:r/>
            <w:r>
              <w:rPr>
                <w:b/>
                <w:color w:val="FFFFFF"/>
                <w:sz w:val="20"/>
              </w:rPr>
              <w:t>Causa</w:t>
            </w:r>
          </w:p>
        </w:tc>
        <w:tc>
          <w:tcPr>
            <w:tcW w:type="dxa" w:w="2736"/>
            <w:shd w:val="clear" w:color="auto" w:fill="1F4E79"/>
          </w:tcPr>
          <w:p>
            <w:pPr>
              <w:spacing w:after="40"/>
            </w:pPr>
            <w:r/>
            <w:r>
              <w:rPr>
                <w:b/>
                <w:color w:val="FFFFFF"/>
                <w:sz w:val="20"/>
              </w:rPr>
              <w:t>Solución</w:t>
            </w:r>
          </w:p>
        </w:tc>
      </w:tr>
      <w:tr>
        <w:tc>
          <w:tcPr>
            <w:tcW w:type="dxa" w:w="2592"/>
          </w:tcPr>
          <w:p>
            <w:pPr>
              <w:spacing w:after="40"/>
            </w:pPr>
            <w:r/>
            <w:r>
              <w:rPr>
                <w:sz w:val="20"/>
              </w:rPr>
              <w:t>Process from config.webServer exited early</w:t>
            </w:r>
          </w:p>
        </w:tc>
        <w:tc>
          <w:tcPr>
            <w:tcW w:type="dxa" w:w="4032"/>
          </w:tcPr>
          <w:p>
            <w:pPr>
              <w:spacing w:after="40"/>
            </w:pPr>
            <w:r/>
            <w:r>
              <w:rPr>
                <w:sz w:val="20"/>
              </w:rPr>
              <w:t>Quedaba un servidor de desarrollo en segundo plano, escuchando solo en IPv6 (::1). Playwright no lo detectaba e intentaba arrancar otro, que salía al instante</w:t>
            </w:r>
          </w:p>
        </w:tc>
        <w:tc>
          <w:tcPr>
            <w:tcW w:type="dxa" w:w="2736"/>
          </w:tcPr>
          <w:p>
            <w:pPr>
              <w:spacing w:after="40"/>
            </w:pPr>
            <w:r/>
            <w:r>
              <w:rPr>
                <w:sz w:val="20"/>
              </w:rPr>
              <w:t>Levantar el servidor antes con --host 127.0.0.1 para que Playwright lo reutilice</w:t>
            </w:r>
          </w:p>
        </w:tc>
      </w:tr>
      <w:tr>
        <w:tc>
          <w:tcPr>
            <w:tcW w:type="dxa" w:w="2592"/>
          </w:tcPr>
          <w:p>
            <w:pPr>
              <w:spacing w:after="40"/>
            </w:pPr>
            <w:r/>
            <w:r>
              <w:rPr>
                <w:sz w:val="20"/>
              </w:rPr>
              <w:t>2 de 4 pruebas fallaban esperando «0 tareas pendientes»</w:t>
            </w:r>
          </w:p>
        </w:tc>
        <w:tc>
          <w:tcPr>
            <w:tcW w:type="dxa" w:w="4032"/>
          </w:tcPr>
          <w:p>
            <w:pPr>
              <w:spacing w:after="40"/>
            </w:pPr>
            <w:r/>
            <w:r>
              <w:rPr>
                <w:sz w:val="20"/>
              </w:rPr>
              <w:t>El stack de Compose seguía arriba: la app cargaba las 6 tareas reales de la API del puerto 4000</w:t>
            </w:r>
          </w:p>
        </w:tc>
        <w:tc>
          <w:tcPr>
            <w:tcW w:type="dxa" w:w="2736"/>
          </w:tcPr>
          <w:p>
            <w:pPr>
              <w:spacing w:after="40"/>
            </w:pPr>
            <w:r/>
            <w:r>
              <w:rPr>
                <w:sz w:val="20"/>
              </w:rPr>
              <w:t>Apuntar el frontend a una API inexistente, igual que en el pipeline, donde no hay backend</w:t>
            </w:r>
          </w:p>
        </w:tc>
      </w:tr>
    </w:tbl>
    <w:p>
      <w:pPr>
        <w:spacing w:after="40"/>
      </w:pPr>
    </w:p>
    <w:p>
      <w:pPr>
        <w:spacing w:before="120" w:after="200" w:line="240" w:lineRule="auto"/>
        <w:ind w:left="216"/>
        <w:shd w:val="clear" w:color="auto" w:fill="F2F2F2"/>
      </w:pPr>
      <w:r>
        <w:rPr>
          <w:rFonts w:ascii="Consolas" w:hAnsi="Consolas" w:eastAsia="Consolas"/>
          <w:sz w:val="17"/>
        </w:rPr>
        <w:t>$ PUBLIC_API_URL=http://127.0.0.1:4999 npx astro dev --background --host 127.0.0.1</w:t>
        <w:br/>
      </w:r>
      <w:r>
        <w:rPr>
          <w:rFonts w:ascii="Consolas" w:hAnsi="Consolas" w:eastAsia="Consolas"/>
          <w:sz w:val="17"/>
        </w:rPr>
        <w:t>$ npx playwright test</w:t>
        <w:br/>
      </w:r>
      <w:r>
        <w:rPr>
          <w:rFonts w:ascii="Consolas" w:hAnsi="Consolas" w:eastAsia="Consolas"/>
          <w:sz w:val="17"/>
        </w:rPr>
        <w:t xml:space="preserve">  ✓ un usuario puede crear una tarea y verla en la lista</w:t>
        <w:br/>
      </w:r>
      <w:r>
        <w:rPr>
          <w:rFonts w:ascii="Consolas" w:hAnsi="Consolas" w:eastAsia="Consolas"/>
          <w:sz w:val="17"/>
        </w:rPr>
        <w:t xml:space="preserve">  ✓ el contador de pendientes refleja las tareas agregadas</w:t>
        <w:br/>
      </w:r>
      <w:r>
        <w:rPr>
          <w:rFonts w:ascii="Consolas" w:hAnsi="Consolas" w:eastAsia="Consolas"/>
          <w:sz w:val="17"/>
        </w:rPr>
        <w:t xml:space="preserve">  ✓ no se agrega una tarea cuyo titulo son solo espacios</w:t>
        <w:br/>
      </w:r>
      <w:r>
        <w:rPr>
          <w:rFonts w:ascii="Consolas" w:hAnsi="Consolas" w:eastAsia="Consolas"/>
          <w:sz w:val="17"/>
        </w:rPr>
        <w:t xml:space="preserve">  ✓ el campo queda limpio despues de agregar una tarea</w:t>
        <w:br/>
      </w:r>
      <w:r>
        <w:rPr>
          <w:rFonts w:ascii="Consolas" w:hAnsi="Consolas" w:eastAsia="Consolas"/>
          <w:sz w:val="17"/>
        </w:rPr>
        <w:t xml:space="preserve">  ✓ la lista vacia invita a crear la primera tarea</w:t>
        <w:br/>
      </w:r>
      <w:r>
        <w:rPr>
          <w:rFonts w:ascii="Consolas" w:hAnsi="Consolas" w:eastAsia="Consolas"/>
          <w:sz w:val="17"/>
        </w:rPr>
        <w:t xml:space="preserve">  5 passed (8.3s)</w:t>
      </w:r>
    </w:p>
    <w:p>
      <w:pPr>
        <w:pStyle w:val="Heading3"/>
      </w:pPr>
      <w:r>
        <w:t>Etapa 4 — Build</w:t>
      </w:r>
    </w:p>
    <w:p>
      <w:pPr>
        <w:spacing w:before="120" w:after="200" w:line="240" w:lineRule="auto"/>
        <w:ind w:left="216"/>
        <w:shd w:val="clear" w:color="auto" w:fill="F2F2F2"/>
      </w:pPr>
      <w:r>
        <w:rPr>
          <w:rFonts w:ascii="Consolas" w:hAnsi="Consolas" w:eastAsia="Consolas"/>
          <w:sz w:val="17"/>
        </w:rPr>
        <w:t>$ npm run build</w:t>
        <w:br/>
      </w:r>
      <w:r>
        <w:rPr>
          <w:rFonts w:ascii="Consolas" w:hAnsi="Consolas" w:eastAsia="Consolas"/>
          <w:sz w:val="17"/>
        </w:rPr>
        <w:t>[build] 1 page(s) built in 8.44s</w:t>
        <w:br/>
      </w:r>
      <w:r>
        <w:rPr>
          <w:rFonts w:ascii="Consolas" w:hAnsi="Consolas" w:eastAsia="Consolas"/>
          <w:sz w:val="17"/>
        </w:rPr>
        <w:t>[build] Complete!</w:t>
        <w:br/>
      </w:r>
      <w:r>
        <w:rPr>
          <w:rFonts w:ascii="Consolas" w:hAnsi="Consolas" w:eastAsia="Consolas"/>
          <w:sz w:val="17"/>
        </w:rPr>
        <w:t>$ du -sh dist  →  253K</w:t>
      </w:r>
    </w:p>
    <w:p>
      <w:pPr>
        <w:pStyle w:val="Heading3"/>
      </w:pPr>
      <w:r>
        <w:t>Etapa 5 — Contenerización: el defecto que apareció</w:t>
      </w:r>
    </w:p>
    <w:p>
      <w:pPr>
        <w:spacing w:after="120"/>
      </w:pPr>
      <w:r>
        <w:rPr>
          <w:b w:val="0"/>
          <w:i w:val="0"/>
          <w:sz w:val="22"/>
        </w:rPr>
        <w:t>Tras un ciclo limpio de docker compose down y up, los tres servicios arrancaron. Pero /health respondía «Cannot GET /health»: el contenedor venía de una imagen del 15 de septiembre, anterior a la Sesión 7. Al reconstruir la imagen desde main, el backend entró en bucle de reinicio:</w:t>
      </w:r>
    </w:p>
    <w:p>
      <w:pPr>
        <w:spacing w:before="120" w:after="200" w:line="240" w:lineRule="auto"/>
        <w:ind w:left="216"/>
        <w:shd w:val="clear" w:color="auto" w:fill="F2F2F2"/>
      </w:pPr>
      <w:r>
        <w:rPr>
          <w:rFonts w:ascii="Consolas" w:hAnsi="Consolas" w:eastAsia="Consolas"/>
          <w:sz w:val="17"/>
        </w:rPr>
        <w:t>backend  Restarting (1) Less than a second ago</w:t>
        <w:br/>
      </w:r>
      <w:r>
        <w:rPr>
          <w:rFonts w:ascii="Consolas" w:hAnsi="Consolas" w:eastAsia="Consolas"/>
          <w:sz w:val="17"/>
        </w:rPr>
        <w:br/>
      </w:r>
      <w:r>
        <w:rPr>
          <w:rFonts w:ascii="Consolas" w:hAnsi="Consolas" w:eastAsia="Consolas"/>
          <w:sz w:val="17"/>
        </w:rPr>
        <w:t xml:space="preserve">    at async aplicarMigraciones (file:///app/src/server/migraciones.js:52:23)</w:t>
        <w:br/>
      </w:r>
      <w:r>
        <w:rPr>
          <w:rFonts w:ascii="Consolas" w:hAnsi="Consolas" w:eastAsia="Consolas"/>
          <w:sz w:val="17"/>
        </w:rPr>
        <w:t xml:space="preserve">  errno: -2, code: 'ENOENT', syscall: 'scandir',</w:t>
        <w:br/>
      </w:r>
      <w:r>
        <w:rPr>
          <w:rFonts w:ascii="Consolas" w:hAnsi="Consolas" w:eastAsia="Consolas"/>
          <w:sz w:val="17"/>
        </w:rPr>
        <w:t xml:space="preserve">  path: '/app/db/migraciones'</w:t>
      </w:r>
    </w:p>
    <w:p>
      <w:pPr>
        <w:spacing w:after="120"/>
      </w:pPr>
      <w:r>
        <w:rPr>
          <w:b w:val="0"/>
          <w:i w:val="0"/>
          <w:sz w:val="22"/>
        </w:rPr>
        <w:t>Desde la Sesión 6 el servidor aplica las migraciones al arrancar, pero Dockerfile.backend solo copiaba src/. Nadie lo había notado porque el contenedor en ejecución era viejo. Ese mismo defecto habría roto el despliegue en Railway en cuanto construyera este Dockerfile. La corrección fue una línea:</w:t>
      </w:r>
    </w:p>
    <w:p>
      <w:pPr>
        <w:spacing w:before="120" w:after="200" w:line="240" w:lineRule="auto"/>
        <w:ind w:left="216"/>
        <w:shd w:val="clear" w:color="auto" w:fill="F2F2F2"/>
      </w:pPr>
      <w:r>
        <w:rPr>
          <w:rFonts w:ascii="Consolas" w:hAnsi="Consolas" w:eastAsia="Consolas"/>
          <w:sz w:val="17"/>
        </w:rPr>
        <w:t>COPY src ./src</w:t>
        <w:br/>
      </w:r>
      <w:r>
        <w:rPr>
          <w:rFonts w:ascii="Consolas" w:hAnsi="Consolas" w:eastAsia="Consolas"/>
          <w:sz w:val="17"/>
        </w:rPr>
        <w:t># Las migraciones viajan dentro de la imagen: el servidor las aplica al</w:t>
        <w:br/>
      </w:r>
      <w:r>
        <w:rPr>
          <w:rFonts w:ascii="Consolas" w:hAnsi="Consolas" w:eastAsia="Consolas"/>
          <w:sz w:val="17"/>
        </w:rPr>
        <w:t># arrancar, asi que sin esta copia el contenedor muere buscando db/migraciones.</w:t>
        <w:br/>
      </w:r>
      <w:r>
        <w:rPr>
          <w:rFonts w:ascii="Consolas" w:hAnsi="Consolas" w:eastAsia="Consolas"/>
          <w:sz w:val="17"/>
        </w:rPr>
        <w:t>COPY db ./db</w:t>
      </w:r>
    </w:p>
    <w:p>
      <w:pPr>
        <w:spacing w:before="120" w:after="200" w:line="240" w:lineRule="auto"/>
        <w:ind w:left="216"/>
        <w:shd w:val="clear" w:color="auto" w:fill="F2F2F2"/>
      </w:pPr>
      <w:r>
        <w:rPr>
          <w:rFonts w:ascii="Consolas" w:hAnsi="Consolas" w:eastAsia="Consolas"/>
          <w:sz w:val="17"/>
        </w:rPr>
        <w:t>SERVICE    STATUS</w:t>
        <w:br/>
      </w:r>
      <w:r>
        <w:rPr>
          <w:rFonts w:ascii="Consolas" w:hAnsi="Consolas" w:eastAsia="Consolas"/>
          <w:sz w:val="17"/>
        </w:rPr>
        <w:t>backend    Up 21 seconds (healthy)</w:t>
        <w:br/>
      </w:r>
      <w:r>
        <w:rPr>
          <w:rFonts w:ascii="Consolas" w:hAnsi="Consolas" w:eastAsia="Consolas"/>
          <w:sz w:val="17"/>
        </w:rPr>
        <w:t>frontend   Up 2 minutes</w:t>
        <w:br/>
      </w:r>
      <w:r>
        <w:rPr>
          <w:rFonts w:ascii="Consolas" w:hAnsi="Consolas" w:eastAsia="Consolas"/>
          <w:sz w:val="17"/>
        </w:rPr>
        <w:t>postgres   Up 2 minutes (healthy)</w:t>
        <w:br/>
      </w:r>
      <w:r>
        <w:rPr>
          <w:rFonts w:ascii="Consolas" w:hAnsi="Consolas" w:eastAsia="Consolas"/>
          <w:sz w:val="17"/>
        </w:rPr>
        <w:br/>
      </w:r>
      <w:r>
        <w:rPr>
          <w:rFonts w:ascii="Consolas" w:hAnsi="Consolas" w:eastAsia="Consolas"/>
          <w:sz w:val="17"/>
        </w:rPr>
        <w:t>$ curl localhost:4000/health  →  {"estado":"ok","status":"ok","almacen":"postgres"}</w:t>
        <w:br/>
      </w:r>
      <w:r>
        <w:rPr>
          <w:rFonts w:ascii="Consolas" w:hAnsi="Consolas" w:eastAsia="Consolas"/>
          <w:sz w:val="17"/>
        </w:rPr>
        <w:t>$ curl localhost:5173/        →  200</w:t>
        <w:br/>
      </w:r>
      <w:r>
        <w:rPr>
          <w:rFonts w:ascii="Consolas" w:hAnsi="Consolas" w:eastAsia="Consolas"/>
          <w:sz w:val="17"/>
        </w:rPr>
        <w:t>tareas persistidas tras down/up: 6</w:t>
      </w:r>
    </w:p>
    <w:p>
      <w:pPr>
        <w:pStyle w:val="Heading3"/>
      </w:pPr>
      <w:r>
        <w:t>Etapa 6 — Migraciones y seed</w:t>
      </w:r>
    </w:p>
    <w:p>
      <w:pPr>
        <w:spacing w:after="120"/>
      </w:pPr>
      <w:r>
        <w:rPr>
          <w:b w:val="0"/>
          <w:i w:val="0"/>
          <w:sz w:val="22"/>
        </w:rPr>
        <w:t>En el pipeline, el job Migraciones y Seeds levanta un PostgreSQL efímero, aplica las migraciones y el seed, los repite para comprobar que son idempotentes y verifica que no se dupliquen filas. En staging, las migraciones corren al arrancar el servidor contra la base real.</w:t>
      </w:r>
    </w:p>
    <w:p>
      <w:pPr>
        <w:spacing w:after="120"/>
      </w:pPr>
      <w:r>
        <w:rPr>
          <w:b w:val="0"/>
          <w:i w:val="0"/>
          <w:sz w:val="22"/>
        </w:rPr>
        <w:t>Como parte del ensayo, Migraciones y Seeds se agregó como check requerido en la protección de main. Antes no lo era, y ahora sin ese check no se puede integrar:</w:t>
      </w:r>
    </w:p>
    <w:p>
      <w:pPr>
        <w:spacing w:before="120" w:after="200" w:line="240" w:lineRule="auto"/>
        <w:ind w:left="216"/>
        <w:shd w:val="clear" w:color="auto" w:fill="F2F2F2"/>
      </w:pPr>
      <w:r>
        <w:rPr>
          <w:rFonts w:ascii="Consolas" w:hAnsi="Consolas" w:eastAsia="Consolas"/>
          <w:sz w:val="17"/>
        </w:rPr>
        <w:t>"required_status_checks": ["Lint &amp; Build", "Pruebas unitarias y cobertura",</w:t>
        <w:br/>
      </w:r>
      <w:r>
        <w:rPr>
          <w:rFonts w:ascii="Consolas" w:hAnsi="Consolas" w:eastAsia="Consolas"/>
          <w:sz w:val="17"/>
        </w:rPr>
        <w:t xml:space="preserve">                           "Pruebas E2E", "Migraciones y Seeds"]</w:t>
        <w:br/>
      </w:r>
      <w:r>
        <w:rPr>
          <w:rFonts w:ascii="Consolas" w:hAnsi="Consolas" w:eastAsia="Consolas"/>
          <w:sz w:val="17"/>
        </w:rPr>
        <w:t>"enforce_admins": true</w:t>
      </w:r>
    </w:p>
    <w:p>
      <w:pPr>
        <w:pStyle w:val="Heading3"/>
      </w:pPr>
      <w:r>
        <w:t>Etapa 7 — Despliegue y rollback</w:t>
      </w:r>
    </w:p>
    <w:p>
      <w:pPr>
        <w:spacing w:after="120"/>
      </w:pPr>
      <w:r>
        <w:rPr>
          <w:b w:val="0"/>
          <w:i w:val="0"/>
          <w:sz w:val="22"/>
        </w:rPr>
        <w:t>Se cerró completa en la Sesión 7: despliegue automático a staging, despliegue manual a producción con la confirmación DEPLOY, y un rollback real practicado en el Simulacro de Caos. La prueba de fuego de la sección 1.2 lo vuelve a demostrar de punta a punta.</w:t>
      </w:r>
    </w:p>
    <w:p>
      <w:r>
        <w:br w:type="page"/>
      </w:r>
    </w:p>
    <w:p>
      <w:pPr>
        <w:pStyle w:val="Heading2"/>
      </w:pPr>
      <w:r>
        <w:t>1.2 — La prueba de fuego: un cambio real de punta a punta</w:t>
      </w:r>
    </w:p>
    <w:p>
      <w:pPr>
        <w:spacing w:after="120"/>
      </w:pPr>
      <w:r>
        <w:rPr>
          <w:b w:val="0"/>
          <w:i w:val="0"/>
          <w:sz w:val="22"/>
        </w:rPr>
        <w:t>Se hizo en dos tiempos, porque el primer cambio elegido resultó ser del frontend y Railway publica solo la API.</w:t>
      </w:r>
    </w:p>
    <w:p>
      <w:pPr>
        <w:pStyle w:val="Heading3"/>
      </w:pPr>
      <w:r>
        <w:t>Primer cambio: la lista vacía invita a crear la primera tarea</w:t>
      </w:r>
    </w:p>
    <w:p>
      <w:pPr>
        <w:spacing w:before="120" w:after="200" w:line="240" w:lineRule="auto"/>
        <w:ind w:left="216"/>
        <w:shd w:val="clear" w:color="auto" w:fill="F2F2F2"/>
      </w:pPr>
      <w:r>
        <w:rPr>
          <w:rFonts w:ascii="Consolas" w:hAnsi="Consolas" w:eastAsia="Consolas"/>
          <w:sz w:val="17"/>
        </w:rPr>
        <w:t>$ git checkout main &amp;&amp; git pull origin main</w:t>
        <w:br/>
      </w:r>
      <w:r>
        <w:rPr>
          <w:rFonts w:ascii="Consolas" w:hAnsi="Consolas" w:eastAsia="Consolas"/>
          <w:sz w:val="17"/>
        </w:rPr>
        <w:t>$ git checkout -b feature/verificacion-final</w:t>
        <w:br/>
      </w:r>
      <w:r>
        <w:rPr>
          <w:rFonts w:ascii="Consolas" w:hAnsi="Consolas" w:eastAsia="Consolas"/>
          <w:sz w:val="17"/>
        </w:rPr>
        <w:t>$ git commit -m "fix: copiar las migraciones dentro de la imagen del backend"</w:t>
        <w:br/>
      </w:r>
      <w:r>
        <w:rPr>
          <w:rFonts w:ascii="Consolas" w:hAnsi="Consolas" w:eastAsia="Consolas"/>
          <w:sz w:val="17"/>
        </w:rPr>
        <w:t>$ git commit -m "feat: invitar a crear la primera tarea cuando la lista esta vacia"</w:t>
        <w:br/>
      </w:r>
      <w:r>
        <w:rPr>
          <w:rFonts w:ascii="Consolas" w:hAnsi="Consolas" w:eastAsia="Consolas"/>
          <w:sz w:val="17"/>
        </w:rPr>
        <w:t>$ git push origin feature/verificacion-final</w:t>
      </w:r>
    </w:p>
    <w:p>
      <w:pPr>
        <w:spacing w:before="160" w:after="40"/>
        <w:jc w:val="center"/>
      </w:pPr>
      <w:r>
        <w:drawing>
          <wp:inline xmlns:a="http://schemas.openxmlformats.org/drawingml/2006/main" xmlns:pic="http://schemas.openxmlformats.org/drawingml/2006/picture">
            <wp:extent cx="4937760" cy="751637"/>
            <wp:docPr id="1" name="Picture 1"/>
            <wp:cNvGraphicFramePr>
              <a:graphicFrameLocks noChangeAspect="1"/>
            </wp:cNvGraphicFramePr>
            <a:graphic>
              <a:graphicData uri="http://schemas.openxmlformats.org/drawingml/2006/picture">
                <pic:pic>
                  <pic:nvPicPr>
                    <pic:cNvPr id="0" name="01-demo-lista-vacia.png"/>
                    <pic:cNvPicPr/>
                  </pic:nvPicPr>
                  <pic:blipFill>
                    <a:blip r:embed="rId9"/>
                    <a:stretch>
                      <a:fillRect/>
                    </a:stretch>
                  </pic:blipFill>
                  <pic:spPr>
                    <a:xfrm>
                      <a:off x="0" y="0"/>
                      <a:ext cx="4937760" cy="751637"/>
                    </a:xfrm>
                    <a:prstGeom prst="rect"/>
                  </pic:spPr>
                </pic:pic>
              </a:graphicData>
            </a:graphic>
          </wp:inline>
        </w:drawing>
      </w:r>
    </w:p>
    <w:p>
      <w:pPr>
        <w:spacing w:after="280"/>
        <w:jc w:val="center"/>
      </w:pPr>
      <w:r>
        <w:rPr>
          <w:i/>
          <w:color w:val="595959"/>
          <w:sz w:val="18"/>
        </w:rPr>
        <w:t>Figura 1. Antes de agregar tareas, la lista explica qué hacer en lugar de dejar un hueco.</w:t>
      </w:r>
    </w:p>
    <w:p>
      <w:pPr>
        <w:spacing w:before="160" w:after="40"/>
        <w:jc w:val="center"/>
      </w:pPr>
      <w:r>
        <w:drawing>
          <wp:inline xmlns:a="http://schemas.openxmlformats.org/drawingml/2006/main" xmlns:pic="http://schemas.openxmlformats.org/drawingml/2006/picture">
            <wp:extent cx="4937760" cy="762610"/>
            <wp:docPr id="2" name="Picture 2"/>
            <wp:cNvGraphicFramePr>
              <a:graphicFrameLocks noChangeAspect="1"/>
            </wp:cNvGraphicFramePr>
            <a:graphic>
              <a:graphicData uri="http://schemas.openxmlformats.org/drawingml/2006/picture">
                <pic:pic>
                  <pic:nvPicPr>
                    <pic:cNvPr id="0" name="01b-demo-con-tarea.png"/>
                    <pic:cNvPicPr/>
                  </pic:nvPicPr>
                  <pic:blipFill>
                    <a:blip r:embed="rId10"/>
                    <a:stretch>
                      <a:fillRect/>
                    </a:stretch>
                  </pic:blipFill>
                  <pic:spPr>
                    <a:xfrm>
                      <a:off x="0" y="0"/>
                      <a:ext cx="4937760" cy="762610"/>
                    </a:xfrm>
                    <a:prstGeom prst="rect"/>
                  </pic:spPr>
                </pic:pic>
              </a:graphicData>
            </a:graphic>
          </wp:inline>
        </w:drawing>
      </w:r>
    </w:p>
    <w:p>
      <w:pPr>
        <w:spacing w:after="280"/>
        <w:jc w:val="center"/>
      </w:pPr>
      <w:r>
        <w:rPr>
          <w:i/>
          <w:color w:val="595959"/>
          <w:sz w:val="18"/>
        </w:rPr>
        <w:t>Figura 2. Con la primera tarea el mensaje desaparece y aparece la lista.</w:t>
      </w:r>
    </w:p>
    <w:p>
      <w:pPr>
        <w:spacing w:before="160" w:after="40"/>
        <w:jc w:val="center"/>
      </w:pPr>
      <w:r>
        <w:drawing>
          <wp:inline xmlns:a="http://schemas.openxmlformats.org/drawingml/2006/main" xmlns:pic="http://schemas.openxmlformats.org/drawingml/2006/picture">
            <wp:extent cx="5577840" cy="2481365"/>
            <wp:docPr id="3" name="Picture 3"/>
            <wp:cNvGraphicFramePr>
              <a:graphicFrameLocks noChangeAspect="1"/>
            </wp:cNvGraphicFramePr>
            <a:graphic>
              <a:graphicData uri="http://schemas.openxmlformats.org/drawingml/2006/picture">
                <pic:pic>
                  <pic:nvPicPr>
                    <pic:cNvPr id="0" name="02-run17-pr-checks.jpg"/>
                    <pic:cNvPicPr/>
                  </pic:nvPicPr>
                  <pic:blipFill>
                    <a:blip r:embed="rId11"/>
                    <a:stretch>
                      <a:fillRect/>
                    </a:stretch>
                  </pic:blipFill>
                  <pic:spPr>
                    <a:xfrm>
                      <a:off x="0" y="0"/>
                      <a:ext cx="5577840" cy="2481365"/>
                    </a:xfrm>
                    <a:prstGeom prst="rect"/>
                  </pic:spPr>
                </pic:pic>
              </a:graphicData>
            </a:graphic>
          </wp:inline>
        </w:drawing>
      </w:r>
    </w:p>
    <w:p>
      <w:pPr>
        <w:spacing w:after="280"/>
        <w:jc w:val="center"/>
      </w:pPr>
      <w:r>
        <w:rPr>
          <w:i/>
          <w:color w:val="595959"/>
          <w:sz w:val="18"/>
        </w:rPr>
        <w:t>Figura 3. El Pull Request #11 dispara los cuatro controles en verde. Los despliegues se omiten porque es un PR.</w:t>
      </w:r>
    </w:p>
    <w:p>
      <w:pPr>
        <w:spacing w:before="160" w:after="40"/>
        <w:jc w:val="center"/>
      </w:pPr>
      <w:r>
        <w:drawing>
          <wp:inline xmlns:a="http://schemas.openxmlformats.org/drawingml/2006/main" xmlns:pic="http://schemas.openxmlformats.org/drawingml/2006/picture">
            <wp:extent cx="5577840" cy="2485549"/>
            <wp:docPr id="4" name="Picture 4"/>
            <wp:cNvGraphicFramePr>
              <a:graphicFrameLocks noChangeAspect="1"/>
            </wp:cNvGraphicFramePr>
            <a:graphic>
              <a:graphicData uri="http://schemas.openxmlformats.org/drawingml/2006/picture">
                <pic:pic>
                  <pic:nvPicPr>
                    <pic:cNvPr id="0" name="03-pr11-integrado.jpg"/>
                    <pic:cNvPicPr/>
                  </pic:nvPicPr>
                  <pic:blipFill>
                    <a:blip r:embed="rId12"/>
                    <a:stretch>
                      <a:fillRect/>
                    </a:stretch>
                  </pic:blipFill>
                  <pic:spPr>
                    <a:xfrm>
                      <a:off x="0" y="0"/>
                      <a:ext cx="5577840" cy="2485549"/>
                    </a:xfrm>
                    <a:prstGeom prst="rect"/>
                  </pic:spPr>
                </pic:pic>
              </a:graphicData>
            </a:graphic>
          </wp:inline>
        </w:drawing>
      </w:r>
    </w:p>
    <w:p>
      <w:pPr>
        <w:spacing w:after="280"/>
        <w:jc w:val="center"/>
      </w:pPr>
      <w:r>
        <w:rPr>
          <w:i/>
          <w:color w:val="595959"/>
          <w:sz w:val="18"/>
        </w:rPr>
        <w:t>Figura 4. El Pull Request #11 integrado con los 6 checks.</w:t>
      </w:r>
    </w:p>
    <w:p>
      <w:pPr>
        <w:spacing w:after="120"/>
      </w:pPr>
      <w:r>
        <w:rPr>
          <w:b w:val="0"/>
          <w:i w:val="0"/>
          <w:sz w:val="22"/>
        </w:rPr>
        <w:t>El cambio quedó cubierto por una prueba de componente y una E2E nueva. Al integrarlo, el despliegue a staging todavía no se ejecutaba porque faltaba el token de Railway, que se completó en la Sesión 7. Además, Railway sirve solo la API, así que un cambio de pantalla no se ve en la URL de staging. Por eso se hizo un segundo cambio, del lado de la API.</w:t>
      </w:r>
    </w:p>
    <w:p>
      <w:pPr>
        <w:pStyle w:val="Heading3"/>
      </w:pPr>
      <w:r>
        <w:t>Segundo cambio: resumen de tareas en la API</w:t>
      </w:r>
    </w:p>
    <w:p>
      <w:pPr>
        <w:spacing w:after="160"/>
        <w:ind w:left="432"/>
      </w:pPr>
      <w:r>
        <w:rPr>
          <w:b/>
          <w:color w:val="1F4E79"/>
        </w:rPr>
        <w:t xml:space="preserve">En una frase: </w:t>
      </w:r>
      <w:r>
        <w:t>la API ahora entrega un resumen de cuántas tareas hay pendientes y completadas, calculado con la misma función que usa el contador de la pantalla.</w:t>
      </w:r>
    </w:p>
    <w:p>
      <w:pPr>
        <w:spacing w:before="120" w:after="200" w:line="240" w:lineRule="auto"/>
        <w:ind w:left="216"/>
        <w:shd w:val="clear" w:color="auto" w:fill="F2F2F2"/>
      </w:pPr>
      <w:r>
        <w:rPr>
          <w:rFonts w:ascii="Consolas" w:hAnsi="Consolas" w:eastAsia="Consolas"/>
          <w:sz w:val="17"/>
        </w:rPr>
        <w:t>app.get('/tareas/resumen', async (req, res, next) =&gt; {</w:t>
        <w:br/>
      </w:r>
      <w:r>
        <w:rPr>
          <w:rFonts w:ascii="Consolas" w:hAnsi="Consolas" w:eastAsia="Consolas"/>
          <w:sz w:val="17"/>
        </w:rPr>
        <w:t xml:space="preserve">    try {</w:t>
        <w:br/>
      </w:r>
      <w:r>
        <w:rPr>
          <w:rFonts w:ascii="Consolas" w:hAnsi="Consolas" w:eastAsia="Consolas"/>
          <w:sz w:val="17"/>
        </w:rPr>
        <w:t xml:space="preserve">        const tareas = await repositorio.listar();</w:t>
        <w:br/>
      </w:r>
      <w:r>
        <w:rPr>
          <w:rFonts w:ascii="Consolas" w:hAnsi="Consolas" w:eastAsia="Consolas"/>
          <w:sz w:val="17"/>
        </w:rPr>
        <w:t xml:space="preserve">        const pendientes = contarTareasPendientes(tareas);</w:t>
        <w:br/>
      </w:r>
      <w:r>
        <w:rPr>
          <w:rFonts w:ascii="Consolas" w:hAnsi="Consolas" w:eastAsia="Consolas"/>
          <w:sz w:val="17"/>
        </w:rPr>
        <w:t xml:space="preserve">        res.status(200).json({</w:t>
        <w:br/>
      </w:r>
      <w:r>
        <w:rPr>
          <w:rFonts w:ascii="Consolas" w:hAnsi="Consolas" w:eastAsia="Consolas"/>
          <w:sz w:val="17"/>
        </w:rPr>
        <w:t xml:space="preserve">            total: tareas.length,</w:t>
        <w:br/>
      </w:r>
      <w:r>
        <w:rPr>
          <w:rFonts w:ascii="Consolas" w:hAnsi="Consolas" w:eastAsia="Consolas"/>
          <w:sz w:val="17"/>
        </w:rPr>
        <w:t xml:space="preserve">            pendientes,</w:t>
        <w:br/>
      </w:r>
      <w:r>
        <w:rPr>
          <w:rFonts w:ascii="Consolas" w:hAnsi="Consolas" w:eastAsia="Consolas"/>
          <w:sz w:val="17"/>
        </w:rPr>
        <w:t xml:space="preserve">            completadas: tareas.length - pendientes,</w:t>
        <w:br/>
      </w:r>
      <w:r>
        <w:rPr>
          <w:rFonts w:ascii="Consolas" w:hAnsi="Consolas" w:eastAsia="Consolas"/>
          <w:sz w:val="17"/>
        </w:rPr>
        <w:t xml:space="preserve">        });</w:t>
        <w:br/>
      </w:r>
      <w:r>
        <w:rPr>
          <w:rFonts w:ascii="Consolas" w:hAnsi="Consolas" w:eastAsia="Consolas"/>
          <w:sz w:val="17"/>
        </w:rPr>
        <w:t xml:space="preserve">    } catch (error) {</w:t>
        <w:br/>
      </w:r>
      <w:r>
        <w:rPr>
          <w:rFonts w:ascii="Consolas" w:hAnsi="Consolas" w:eastAsia="Consolas"/>
          <w:sz w:val="17"/>
        </w:rPr>
        <w:t xml:space="preserve">        next(error);</w:t>
        <w:br/>
      </w:r>
      <w:r>
        <w:rPr>
          <w:rFonts w:ascii="Consolas" w:hAnsi="Consolas" w:eastAsia="Consolas"/>
          <w:sz w:val="17"/>
        </w:rPr>
        <w:t xml:space="preserve">    }</w:t>
        <w:br/>
      </w:r>
      <w:r>
        <w:rPr>
          <w:rFonts w:ascii="Consolas" w:hAnsi="Consolas" w:eastAsia="Consolas"/>
          <w:sz w:val="17"/>
        </w:rPr>
        <w:t>});</w:t>
      </w:r>
    </w:p>
    <w:p>
      <w:pPr>
        <w:spacing w:after="120"/>
      </w:pPr>
      <w:r>
        <w:rPr>
          <w:b w:val="0"/>
          <w:i w:val="0"/>
          <w:sz w:val="22"/>
        </w:rPr>
        <w:t>Tres pruebas nuevas con Supertest y un repositorio de prueba: una lista con datos, la lista vacía y el almacén caído, que debe responder 500.</w:t>
      </w:r>
    </w:p>
    <w:p>
      <w:pPr>
        <w:spacing w:before="160" w:after="40"/>
        <w:jc w:val="center"/>
      </w:pPr>
      <w:r>
        <w:drawing>
          <wp:inline xmlns:a="http://schemas.openxmlformats.org/drawingml/2006/main" xmlns:pic="http://schemas.openxmlformats.org/drawingml/2006/picture">
            <wp:extent cx="5577840" cy="2485549"/>
            <wp:docPr id="5" name="Picture 5"/>
            <wp:cNvGraphicFramePr>
              <a:graphicFrameLocks noChangeAspect="1"/>
            </wp:cNvGraphicFramePr>
            <a:graphic>
              <a:graphicData uri="http://schemas.openxmlformats.org/drawingml/2006/picture">
                <pic:pic>
                  <pic:nvPicPr>
                    <pic:cNvPr id="0" name="04-run31-deploy-staging.jpg"/>
                    <pic:cNvPicPr/>
                  </pic:nvPicPr>
                  <pic:blipFill>
                    <a:blip r:embed="rId13"/>
                    <a:stretch>
                      <a:fillRect/>
                    </a:stretch>
                  </pic:blipFill>
                  <pic:spPr>
                    <a:xfrm>
                      <a:off x="0" y="0"/>
                      <a:ext cx="5577840" cy="2485549"/>
                    </a:xfrm>
                    <a:prstGeom prst="rect"/>
                  </pic:spPr>
                </pic:pic>
              </a:graphicData>
            </a:graphic>
          </wp:inline>
        </w:drawing>
      </w:r>
    </w:p>
    <w:p>
      <w:pPr>
        <w:spacing w:after="280"/>
        <w:jc w:val="center"/>
      </w:pPr>
      <w:r>
        <w:rPr>
          <w:i/>
          <w:color w:val="595959"/>
          <w:sz w:val="18"/>
        </w:rPr>
        <w:t>Figura 5. Tras el merge del PR #17: los cuatro controles y Deploy a Staging en verde (2 min 24 s). Producción, omitida.</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1F4E79"/>
          </w:tcPr>
          <w:p>
            <w:pPr>
              <w:spacing w:after="40"/>
            </w:pPr>
            <w:r/>
            <w:r>
              <w:rPr>
                <w:b/>
                <w:color w:val="FFFFFF"/>
                <w:sz w:val="20"/>
              </w:rPr>
              <w:t>Hora (UTC)</w:t>
            </w:r>
          </w:p>
        </w:tc>
        <w:tc>
          <w:tcPr>
            <w:tcW w:type="dxa" w:w="6768"/>
            <w:shd w:val="clear" w:color="auto" w:fill="1F4E79"/>
          </w:tcPr>
          <w:p>
            <w:pPr>
              <w:spacing w:after="40"/>
            </w:pPr>
            <w:r/>
            <w:r>
              <w:rPr>
                <w:b/>
                <w:color w:val="FFFFFF"/>
                <w:sz w:val="20"/>
              </w:rPr>
              <w:t>Evento</w:t>
            </w:r>
          </w:p>
        </w:tc>
      </w:tr>
      <w:tr>
        <w:tc>
          <w:tcPr>
            <w:tcW w:type="dxa" w:w="2592"/>
          </w:tcPr>
          <w:p>
            <w:pPr>
              <w:spacing w:after="40"/>
            </w:pPr>
            <w:r/>
            <w:r>
              <w:rPr>
                <w:sz w:val="20"/>
              </w:rPr>
              <w:t>06:31:58</w:t>
            </w:r>
          </w:p>
        </w:tc>
        <w:tc>
          <w:tcPr>
            <w:tcW w:type="dxa" w:w="6768"/>
          </w:tcPr>
          <w:p>
            <w:pPr>
              <w:spacing w:after="40"/>
            </w:pPr>
            <w:r/>
            <w:r>
              <w:rPr>
                <w:sz w:val="20"/>
              </w:rPr>
              <w:t>Merge del PR #17 a main; arranca el pipeline</w:t>
            </w:r>
          </w:p>
        </w:tc>
      </w:tr>
      <w:tr>
        <w:tc>
          <w:tcPr>
            <w:tcW w:type="dxa" w:w="2592"/>
          </w:tcPr>
          <w:p>
            <w:pPr>
              <w:spacing w:after="40"/>
            </w:pPr>
            <w:r/>
            <w:r>
              <w:rPr>
                <w:sz w:val="20"/>
              </w:rPr>
              <w:t>06:32:09 – 06:34:15</w:t>
            </w:r>
          </w:p>
        </w:tc>
        <w:tc>
          <w:tcPr>
            <w:tcW w:type="dxa" w:w="6768"/>
          </w:tcPr>
          <w:p>
            <w:pPr>
              <w:spacing w:after="40"/>
            </w:pPr>
            <w:r/>
            <w:r>
              <w:rPr>
                <w:sz w:val="20"/>
              </w:rPr>
              <w:t>Staging todavía sirve la versión anterior (404 en /tareas/resumen)</w:t>
            </w:r>
          </w:p>
        </w:tc>
      </w:tr>
      <w:tr>
        <w:tc>
          <w:tcPr>
            <w:tcW w:type="dxa" w:w="2592"/>
          </w:tcPr>
          <w:p>
            <w:pPr>
              <w:spacing w:after="40"/>
            </w:pPr>
            <w:r/>
            <w:r>
              <w:rPr>
                <w:sz w:val="20"/>
              </w:rPr>
              <w:t>06:34:36</w:t>
            </w:r>
          </w:p>
        </w:tc>
        <w:tc>
          <w:tcPr>
            <w:tcW w:type="dxa" w:w="6768"/>
          </w:tcPr>
          <w:p>
            <w:pPr>
              <w:spacing w:after="40"/>
            </w:pPr>
            <w:r/>
            <w:r>
              <w:rPr>
                <w:sz w:val="20"/>
              </w:rPr>
              <w:t>El endpoint responde en staging</w:t>
            </w:r>
          </w:p>
        </w:tc>
      </w:tr>
    </w:tbl>
    <w:p>
      <w:pPr>
        <w:spacing w:after="40"/>
      </w:pPr>
    </w:p>
    <w:p>
      <w:pPr>
        <w:spacing w:before="160" w:after="40"/>
        <w:jc w:val="center"/>
      </w:pPr>
      <w:r>
        <w:drawing>
          <wp:inline xmlns:a="http://schemas.openxmlformats.org/drawingml/2006/main" xmlns:pic="http://schemas.openxmlformats.org/drawingml/2006/picture">
            <wp:extent cx="4389120" cy="376210"/>
            <wp:docPr id="6" name="Picture 6"/>
            <wp:cNvGraphicFramePr>
              <a:graphicFrameLocks noChangeAspect="1"/>
            </wp:cNvGraphicFramePr>
            <a:graphic>
              <a:graphicData uri="http://schemas.openxmlformats.org/drawingml/2006/picture">
                <pic:pic>
                  <pic:nvPicPr>
                    <pic:cNvPr id="0" name="05-staging-resumen.png"/>
                    <pic:cNvPicPr/>
                  </pic:nvPicPr>
                  <pic:blipFill>
                    <a:blip r:embed="rId14"/>
                    <a:stretch>
                      <a:fillRect/>
                    </a:stretch>
                  </pic:blipFill>
                  <pic:spPr>
                    <a:xfrm>
                      <a:off x="0" y="0"/>
                      <a:ext cx="4389120" cy="376210"/>
                    </a:xfrm>
                    <a:prstGeom prst="rect"/>
                  </pic:spPr>
                </pic:pic>
              </a:graphicData>
            </a:graphic>
          </wp:inline>
        </w:drawing>
      </w:r>
    </w:p>
    <w:p>
      <w:pPr>
        <w:spacing w:after="280"/>
        <w:jc w:val="center"/>
      </w:pPr>
      <w:r>
        <w:rPr>
          <w:i/>
          <w:color w:val="595959"/>
          <w:sz w:val="18"/>
        </w:rPr>
        <w:t>Figura 6. En el navegador: https://fullstack-lab-1-1ci-cd-staging.up.railway.app/tareas/resumen</w:t>
      </w:r>
    </w:p>
    <w:p>
      <w:pPr>
        <w:spacing w:before="160" w:after="40"/>
        <w:jc w:val="center"/>
      </w:pPr>
      <w:r>
        <w:drawing>
          <wp:inline xmlns:a="http://schemas.openxmlformats.org/drawingml/2006/main" xmlns:pic="http://schemas.openxmlformats.org/drawingml/2006/picture">
            <wp:extent cx="4389120" cy="376210"/>
            <wp:docPr id="7" name="Picture 7"/>
            <wp:cNvGraphicFramePr>
              <a:graphicFrameLocks noChangeAspect="1"/>
            </wp:cNvGraphicFramePr>
            <a:graphic>
              <a:graphicData uri="http://schemas.openxmlformats.org/drawingml/2006/picture">
                <pic:pic>
                  <pic:nvPicPr>
                    <pic:cNvPr id="0" name="06-produccion-sin-resumen.png"/>
                    <pic:cNvPicPr/>
                  </pic:nvPicPr>
                  <pic:blipFill>
                    <a:blip r:embed="rId15"/>
                    <a:stretch>
                      <a:fillRect/>
                    </a:stretch>
                  </pic:blipFill>
                  <pic:spPr>
                    <a:xfrm>
                      <a:off x="0" y="0"/>
                      <a:ext cx="4389120" cy="376210"/>
                    </a:xfrm>
                    <a:prstGeom prst="rect"/>
                  </pic:spPr>
                </pic:pic>
              </a:graphicData>
            </a:graphic>
          </wp:inline>
        </w:drawing>
      </w:r>
    </w:p>
    <w:p>
      <w:pPr>
        <w:spacing w:after="280"/>
        <w:jc w:val="center"/>
      </w:pPr>
      <w:r>
        <w:rPr>
          <w:i/>
          <w:color w:val="595959"/>
          <w:sz w:val="18"/>
        </w:rPr>
        <w:t>Figura 7. La misma ruta en producción responde 404: producción solo recibe cambios por despliegue manual.</w:t>
      </w:r>
    </w:p>
    <w:p>
      <w:pPr>
        <w:spacing w:before="160" w:after="40"/>
        <w:jc w:val="center"/>
      </w:pPr>
      <w:r>
        <w:drawing>
          <wp:inline xmlns:a="http://schemas.openxmlformats.org/drawingml/2006/main" xmlns:pic="http://schemas.openxmlformats.org/drawingml/2006/picture">
            <wp:extent cx="5577840" cy="2485549"/>
            <wp:docPr id="8" name="Picture 8"/>
            <wp:cNvGraphicFramePr>
              <a:graphicFrameLocks noChangeAspect="1"/>
            </wp:cNvGraphicFramePr>
            <a:graphic>
              <a:graphicData uri="http://schemas.openxmlformats.org/drawingml/2006/picture">
                <pic:pic>
                  <pic:nvPicPr>
                    <pic:cNvPr id="0" name="07-railway-historial-staging.jpg"/>
                    <pic:cNvPicPr/>
                  </pic:nvPicPr>
                  <pic:blipFill>
                    <a:blip r:embed="rId16"/>
                    <a:stretch>
                      <a:fillRect/>
                    </a:stretch>
                  </pic:blipFill>
                  <pic:spPr>
                    <a:xfrm>
                      <a:off x="0" y="0"/>
                      <a:ext cx="5577840" cy="2485549"/>
                    </a:xfrm>
                    <a:prstGeom prst="rect"/>
                  </pic:spPr>
                </pic:pic>
              </a:graphicData>
            </a:graphic>
          </wp:inline>
        </w:drawing>
      </w:r>
    </w:p>
    <w:p>
      <w:pPr>
        <w:spacing w:after="280"/>
        <w:jc w:val="center"/>
      </w:pPr>
      <w:r>
        <w:rPr>
          <w:i/>
          <w:color w:val="595959"/>
          <w:sz w:val="18"/>
        </w:rPr>
        <w:t>Figura 8. En Railway, el despliegue de la prueba de fuego queda ACTIVE sobre el historial del simulacro de la Sesión 7.</w:t>
      </w:r>
    </w:p>
    <w:p>
      <w:pPr>
        <w:pStyle w:val="Heading2"/>
      </w:pPr>
      <w:r>
        <w:t>1.3 — Si algo falla: lo que realmente falló en el ensayo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1F4E79"/>
          </w:tcPr>
          <w:p>
            <w:pPr>
              <w:spacing w:after="40"/>
            </w:pPr>
            <w:r/>
            <w:r>
              <w:rPr>
                <w:b/>
                <w:color w:val="FFFFFF"/>
                <w:sz w:val="20"/>
              </w:rPr>
              <w:t>Etapa</w:t>
            </w:r>
          </w:p>
        </w:tc>
        <w:tc>
          <w:tcPr>
            <w:tcW w:type="dxa" w:w="2448"/>
            <w:shd w:val="clear" w:color="auto" w:fill="1F4E79"/>
          </w:tcPr>
          <w:p>
            <w:pPr>
              <w:spacing w:after="40"/>
            </w:pPr>
            <w:r/>
            <w:r>
              <w:rPr>
                <w:b/>
                <w:color w:val="FFFFFF"/>
                <w:sz w:val="20"/>
              </w:rPr>
              <w:t>Qué falló</w:t>
            </w:r>
          </w:p>
        </w:tc>
        <w:tc>
          <w:tcPr>
            <w:tcW w:type="dxa" w:w="2880"/>
            <w:shd w:val="clear" w:color="auto" w:fill="1F4E79"/>
          </w:tcPr>
          <w:p>
            <w:pPr>
              <w:spacing w:after="40"/>
            </w:pPr>
            <w:r/>
            <w:r>
              <w:rPr>
                <w:b/>
                <w:color w:val="FFFFFF"/>
                <w:sz w:val="20"/>
              </w:rPr>
              <w:t>Dónde se revisó</w:t>
            </w:r>
          </w:p>
        </w:tc>
        <w:tc>
          <w:tcPr>
            <w:tcW w:type="dxa" w:w="2448"/>
            <w:shd w:val="clear" w:color="auto" w:fill="1F4E79"/>
          </w:tcPr>
          <w:p>
            <w:pPr>
              <w:spacing w:after="40"/>
            </w:pPr>
            <w:r/>
            <w:r>
              <w:rPr>
                <w:b/>
                <w:color w:val="FFFFFF"/>
                <w:sz w:val="20"/>
              </w:rPr>
              <w:t>Resolución</w:t>
            </w:r>
          </w:p>
        </w:tc>
      </w:tr>
      <w:tr>
        <w:tc>
          <w:tcPr>
            <w:tcW w:type="dxa" w:w="1584"/>
          </w:tcPr>
          <w:p>
            <w:pPr>
              <w:spacing w:after="40"/>
            </w:pPr>
            <w:r/>
            <w:r>
              <w:rPr>
                <w:sz w:val="20"/>
              </w:rPr>
              <w:t>Pruebas</w:t>
            </w:r>
          </w:p>
        </w:tc>
        <w:tc>
          <w:tcPr>
            <w:tcW w:type="dxa" w:w="2448"/>
          </w:tcPr>
          <w:p>
            <w:pPr>
              <w:spacing w:after="40"/>
            </w:pPr>
            <w:r/>
            <w:r>
              <w:rPr>
                <w:sz w:val="20"/>
              </w:rPr>
              <w:t>Timeout de los workers</w:t>
            </w:r>
          </w:p>
        </w:tc>
        <w:tc>
          <w:tcPr>
            <w:tcW w:type="dxa" w:w="2880"/>
          </w:tcPr>
          <w:p>
            <w:pPr>
              <w:spacing w:after="40"/>
            </w:pPr>
            <w:r/>
            <w:r>
              <w:rPr>
                <w:sz w:val="20"/>
              </w:rPr>
              <w:t>Salida de Vitest y memoria del equipo</w:t>
            </w:r>
          </w:p>
        </w:tc>
        <w:tc>
          <w:tcPr>
            <w:tcW w:type="dxa" w:w="2448"/>
          </w:tcPr>
          <w:p>
            <w:pPr>
              <w:spacing w:after="40"/>
            </w:pPr>
            <w:r/>
            <w:r>
              <w:rPr>
                <w:sz w:val="20"/>
              </w:rPr>
              <w:t>--no-file-parallelism</w:t>
            </w:r>
          </w:p>
        </w:tc>
      </w:tr>
      <w:tr>
        <w:tc>
          <w:tcPr>
            <w:tcW w:type="dxa" w:w="1584"/>
          </w:tcPr>
          <w:p>
            <w:pPr>
              <w:spacing w:after="40"/>
            </w:pPr>
            <w:r/>
            <w:r>
              <w:rPr>
                <w:sz w:val="20"/>
              </w:rPr>
              <w:t>E2E</w:t>
            </w:r>
          </w:p>
        </w:tc>
        <w:tc>
          <w:tcPr>
            <w:tcW w:type="dxa" w:w="2448"/>
          </w:tcPr>
          <w:p>
            <w:pPr>
              <w:spacing w:after="40"/>
            </w:pPr>
            <w:r/>
            <w:r>
              <w:rPr>
                <w:sz w:val="20"/>
              </w:rPr>
              <w:t>webServer exited early</w:t>
            </w:r>
          </w:p>
        </w:tc>
        <w:tc>
          <w:tcPr>
            <w:tcW w:type="dxa" w:w="2880"/>
          </w:tcPr>
          <w:p>
            <w:pPr>
              <w:spacing w:after="40"/>
            </w:pPr>
            <w:r/>
            <w:r>
              <w:rPr>
                <w:sz w:val="20"/>
              </w:rPr>
              <w:t>Puertos con netstat y astro dev status</w:t>
            </w:r>
          </w:p>
        </w:tc>
        <w:tc>
          <w:tcPr>
            <w:tcW w:type="dxa" w:w="2448"/>
          </w:tcPr>
          <w:p>
            <w:pPr>
              <w:spacing w:after="40"/>
            </w:pPr>
            <w:r/>
            <w:r>
              <w:rPr>
                <w:sz w:val="20"/>
              </w:rPr>
              <w:t>Servidor con --host 127.0.0.1</w:t>
            </w:r>
          </w:p>
        </w:tc>
      </w:tr>
      <w:tr>
        <w:tc>
          <w:tcPr>
            <w:tcW w:type="dxa" w:w="1584"/>
          </w:tcPr>
          <w:p>
            <w:pPr>
              <w:spacing w:after="40"/>
            </w:pPr>
            <w:r/>
            <w:r>
              <w:rPr>
                <w:sz w:val="20"/>
              </w:rPr>
              <w:t>E2E</w:t>
            </w:r>
          </w:p>
        </w:tc>
        <w:tc>
          <w:tcPr>
            <w:tcW w:type="dxa" w:w="2448"/>
          </w:tcPr>
          <w:p>
            <w:pPr>
              <w:spacing w:after="40"/>
            </w:pPr>
            <w:r/>
            <w:r>
              <w:rPr>
                <w:sz w:val="20"/>
              </w:rPr>
              <w:t>Contador distinto a 0</w:t>
            </w:r>
          </w:p>
        </w:tc>
        <w:tc>
          <w:tcPr>
            <w:tcW w:type="dxa" w:w="2880"/>
          </w:tcPr>
          <w:p>
            <w:pPr>
              <w:spacing w:after="40"/>
            </w:pPr>
            <w:r/>
            <w:r>
              <w:rPr>
                <w:sz w:val="20"/>
              </w:rPr>
              <w:t>Puerto 4000 con curl /tareas</w:t>
            </w:r>
          </w:p>
        </w:tc>
        <w:tc>
          <w:tcPr>
            <w:tcW w:type="dxa" w:w="2448"/>
          </w:tcPr>
          <w:p>
            <w:pPr>
              <w:spacing w:after="40"/>
            </w:pPr>
            <w:r/>
            <w:r>
              <w:rPr>
                <w:sz w:val="20"/>
              </w:rPr>
              <w:t>Frontend sin API, como en CI</w:t>
            </w:r>
          </w:p>
        </w:tc>
      </w:tr>
      <w:tr>
        <w:tc>
          <w:tcPr>
            <w:tcW w:type="dxa" w:w="1584"/>
          </w:tcPr>
          <w:p>
            <w:pPr>
              <w:spacing w:after="40"/>
            </w:pPr>
            <w:r/>
            <w:r>
              <w:rPr>
                <w:sz w:val="20"/>
              </w:rPr>
              <w:t>Docker</w:t>
            </w:r>
          </w:p>
        </w:tc>
        <w:tc>
          <w:tcPr>
            <w:tcW w:type="dxa" w:w="2448"/>
          </w:tcPr>
          <w:p>
            <w:pPr>
              <w:spacing w:after="40"/>
            </w:pPr>
            <w:r/>
            <w:r>
              <w:rPr>
                <w:sz w:val="20"/>
              </w:rPr>
              <w:t>Bucle de reinicio</w:t>
            </w:r>
          </w:p>
        </w:tc>
        <w:tc>
          <w:tcPr>
            <w:tcW w:type="dxa" w:w="2880"/>
          </w:tcPr>
          <w:p>
            <w:pPr>
              <w:spacing w:after="40"/>
            </w:pPr>
            <w:r/>
            <w:r>
              <w:rPr>
                <w:sz w:val="20"/>
              </w:rPr>
              <w:t>docker compose logs backend</w:t>
            </w:r>
          </w:p>
        </w:tc>
        <w:tc>
          <w:tcPr>
            <w:tcW w:type="dxa" w:w="2448"/>
          </w:tcPr>
          <w:p>
            <w:pPr>
              <w:spacing w:after="40"/>
            </w:pPr>
            <w:r/>
            <w:r>
              <w:rPr>
                <w:sz w:val="20"/>
              </w:rPr>
              <w:t>COPY db ./db (PR #11)</w:t>
            </w:r>
          </w:p>
        </w:tc>
      </w:tr>
      <w:tr>
        <w:tc>
          <w:tcPr>
            <w:tcW w:type="dxa" w:w="1584"/>
          </w:tcPr>
          <w:p>
            <w:pPr>
              <w:spacing w:after="40"/>
            </w:pPr>
            <w:r/>
            <w:r>
              <w:rPr>
                <w:sz w:val="20"/>
              </w:rPr>
              <w:t>Despliegue</w:t>
            </w:r>
          </w:p>
        </w:tc>
        <w:tc>
          <w:tcPr>
            <w:tcW w:type="dxa" w:w="2448"/>
          </w:tcPr>
          <w:p>
            <w:pPr>
              <w:spacing w:after="40"/>
            </w:pPr>
            <w:r/>
            <w:r>
              <w:rPr>
                <w:sz w:val="20"/>
              </w:rPr>
              <w:t>Railway construía Astro</w:t>
            </w:r>
          </w:p>
        </w:tc>
        <w:tc>
          <w:tcPr>
            <w:tcW w:type="dxa" w:w="2880"/>
          </w:tcPr>
          <w:p>
            <w:pPr>
              <w:spacing w:after="40"/>
            </w:pPr>
            <w:r/>
            <w:r>
              <w:rPr>
                <w:sz w:val="20"/>
              </w:rPr>
              <w:t>Log del job: «astro static site»</w:t>
            </w:r>
          </w:p>
        </w:tc>
        <w:tc>
          <w:tcPr>
            <w:tcW w:type="dxa" w:w="2448"/>
          </w:tcPr>
          <w:p>
            <w:pPr>
              <w:spacing w:after="40"/>
            </w:pPr>
            <w:r/>
            <w:r>
              <w:rPr>
                <w:sz w:val="20"/>
              </w:rPr>
              <w:t>RAILWAY_DOCKERFILE_PATH</w:t>
            </w:r>
          </w:p>
        </w:tc>
      </w:tr>
    </w:tbl>
    <w:p>
      <w:pPr>
        <w:spacing w:after="40"/>
      </w:pPr>
    </w:p>
    <w:p>
      <w:pPr>
        <w:pStyle w:val="Heading3"/>
      </w:pPr>
      <w:r>
        <w:t>Checkpoint del Laboratorio Final</w:t>
      </w:r>
    </w:p>
    <w:p>
      <w:pPr>
        <w:spacing w:after="60"/>
        <w:ind w:left="288"/>
      </w:pPr>
      <w:r>
        <w:rPr>
          <w:b/>
          <w:color w:val="1E7B34"/>
          <w:sz w:val="24"/>
        </w:rPr>
        <w:t xml:space="preserve">☑  </w:t>
      </w:r>
      <w:r>
        <w:rPr>
          <w:sz w:val="22"/>
        </w:rPr>
        <w:t>Las 7 etapas del checklist están marcadas.</w:t>
      </w:r>
    </w:p>
    <w:p>
      <w:pPr>
        <w:spacing w:after="60"/>
        <w:ind w:left="288"/>
      </w:pPr>
      <w:r>
        <w:rPr>
          <w:b/>
          <w:color w:val="1E7B34"/>
          <w:sz w:val="24"/>
        </w:rPr>
        <w:t xml:space="preserve">☑  </w:t>
      </w:r>
      <w:r>
        <w:rPr>
          <w:sz w:val="22"/>
        </w:rPr>
        <w:t>Se ejecutó la prueba de fuego completa: un cambio real llegó de la rama hasta staging.</w:t>
      </w:r>
    </w:p>
    <w:p>
      <w:pPr>
        <w:spacing w:after="60"/>
        <w:ind w:left="288"/>
      </w:pPr>
      <w:r>
        <w:rPr>
          <w:b/>
          <w:color w:val="1E7B34"/>
          <w:sz w:val="24"/>
        </w:rPr>
        <w:t xml:space="preserve">☑  </w:t>
      </w:r>
      <w:r>
        <w:rPr>
          <w:sz w:val="22"/>
        </w:rPr>
        <w:t>Se sabe explicar qué hace cada etapa, no solo que existe (sección 2.3).</w:t>
      </w:r>
    </w:p>
    <w:p>
      <w:r>
        <w:br w:type="page"/>
      </w:r>
    </w:p>
    <w:p>
      <w:pPr>
        <w:pStyle w:val="Heading1"/>
      </w:pPr>
      <w:r>
        <w:t>2. Preparación de la presentación en vivo</w:t>
      </w:r>
    </w:p>
    <w:p>
      <w:pPr>
        <w:pStyle w:val="Heading2"/>
      </w:pPr>
      <w:r>
        <w:t>2.1 — Guion</w:t>
      </w:r>
    </w:p>
    <w:tbl>
      <w:tblPr>
        <w:tblStyle w:val="TableGrid"/>
        <w:tblW w:type="auto" w:w="0"/>
        <w:jc w:val="center"/>
        <w:tblLook w:firstColumn="1" w:firstRow="1" w:lastColumn="0" w:lastRow="0" w:noHBand="0" w:noVBand="1" w:val="04A0"/>
      </w:tblPr>
      <w:tblGrid>
        <w:gridCol w:w="4680"/>
        <w:gridCol w:w="4680"/>
      </w:tblGrid>
      <w:tr>
        <w:tc>
          <w:tcPr>
            <w:tcW w:type="dxa" w:w="1440"/>
            <w:shd w:val="clear" w:color="auto" w:fill="1F4E79"/>
          </w:tcPr>
          <w:p>
            <w:pPr>
              <w:spacing w:after="40"/>
            </w:pPr>
            <w:r/>
            <w:r>
              <w:rPr>
                <w:b/>
                <w:color w:val="FFFFFF"/>
                <w:sz w:val="20"/>
              </w:rPr>
              <w:t>Minuto</w:t>
            </w:r>
          </w:p>
        </w:tc>
        <w:tc>
          <w:tcPr>
            <w:tcW w:type="dxa" w:w="7920"/>
            <w:shd w:val="clear" w:color="auto" w:fill="1F4E79"/>
          </w:tcPr>
          <w:p>
            <w:pPr>
              <w:spacing w:after="40"/>
            </w:pPr>
            <w:r/>
            <w:r>
              <w:rPr>
                <w:b/>
                <w:color w:val="FFFFFF"/>
                <w:sz w:val="20"/>
              </w:rPr>
              <w:t>Qué mostrar</w:t>
            </w:r>
          </w:p>
        </w:tc>
      </w:tr>
      <w:tr>
        <w:tc>
          <w:tcPr>
            <w:tcW w:type="dxa" w:w="1440"/>
          </w:tcPr>
          <w:p>
            <w:pPr>
              <w:spacing w:after="40"/>
            </w:pPr>
            <w:r/>
            <w:r>
              <w:rPr>
                <w:sz w:val="20"/>
              </w:rPr>
              <w:t>0 – 1</w:t>
            </w:r>
          </w:p>
        </w:tc>
        <w:tc>
          <w:tcPr>
            <w:tcW w:type="dxa" w:w="7920"/>
          </w:tcPr>
          <w:p>
            <w:pPr>
              <w:spacing w:after="40"/>
            </w:pPr>
            <w:r/>
            <w:r>
              <w:rPr>
                <w:sz w:val="20"/>
              </w:rPr>
              <w:t>README y la frase: «una lista de tareas con API y base de datos, que se prueba, se contenedoriza y se despliega sola»</w:t>
            </w:r>
          </w:p>
        </w:tc>
      </w:tr>
      <w:tr>
        <w:tc>
          <w:tcPr>
            <w:tcW w:type="dxa" w:w="1440"/>
          </w:tcPr>
          <w:p>
            <w:pPr>
              <w:spacing w:after="40"/>
            </w:pPr>
            <w:r/>
            <w:r>
              <w:rPr>
                <w:sz w:val="20"/>
              </w:rPr>
              <w:t>1 – 2</w:t>
            </w:r>
          </w:p>
        </w:tc>
        <w:tc>
          <w:tcPr>
            <w:tcW w:type="dxa" w:w="7920"/>
          </w:tcPr>
          <w:p>
            <w:pPr>
              <w:spacing w:after="40"/>
            </w:pPr>
            <w:r/>
            <w:r>
              <w:rPr>
                <w:sz w:val="20"/>
              </w:rPr>
              <w:t>El cambio en vivo: agregar el porcentaje completado a /tareas/resumen, con su prueba</w:t>
            </w:r>
          </w:p>
        </w:tc>
      </w:tr>
      <w:tr>
        <w:tc>
          <w:tcPr>
            <w:tcW w:type="dxa" w:w="1440"/>
          </w:tcPr>
          <w:p>
            <w:pPr>
              <w:spacing w:after="40"/>
            </w:pPr>
            <w:r/>
            <w:r>
              <w:rPr>
                <w:sz w:val="20"/>
              </w:rPr>
              <w:t>2 – 5</w:t>
            </w:r>
          </w:p>
        </w:tc>
        <w:tc>
          <w:tcPr>
            <w:tcW w:type="dxa" w:w="7920"/>
          </w:tcPr>
          <w:p>
            <w:pPr>
              <w:spacing w:after="40"/>
            </w:pPr>
            <w:r/>
            <w:r>
              <w:rPr>
                <w:sz w:val="20"/>
              </w:rPr>
              <w:t>Push, Pull Request, los cuatro checks en verde, merge, Deploy a Staging y la URL de staging en el navegador</w:t>
            </w:r>
          </w:p>
        </w:tc>
      </w:tr>
      <w:tr>
        <w:tc>
          <w:tcPr>
            <w:tcW w:type="dxa" w:w="1440"/>
          </w:tcPr>
          <w:p>
            <w:pPr>
              <w:spacing w:after="40"/>
            </w:pPr>
            <w:r/>
            <w:r>
              <w:rPr>
                <w:sz w:val="20"/>
              </w:rPr>
              <w:t>5 – 7</w:t>
            </w:r>
          </w:p>
        </w:tc>
        <w:tc>
          <w:tcPr>
            <w:tcW w:type="dxa" w:w="7920"/>
          </w:tcPr>
          <w:p>
            <w:pPr>
              <w:spacing w:after="40"/>
            </w:pPr>
            <w:r/>
            <w:r>
              <w:rPr>
                <w:sz w:val="20"/>
              </w:rPr>
              <w:t>Preguntas del docente y de los compañeros</w:t>
            </w:r>
          </w:p>
        </w:tc>
      </w:tr>
    </w:tbl>
    <w:p>
      <w:pPr>
        <w:spacing w:after="40"/>
      </w:pPr>
    </w:p>
    <w:p>
      <w:pPr>
        <w:pStyle w:val="Heading2"/>
      </w:pPr>
      <w:r>
        <w:t>2.2 — Lo preparado con anticipación</w:t>
      </w:r>
    </w:p>
    <w:p>
      <w:pPr>
        <w:spacing w:after="60"/>
        <w:ind w:left="360"/>
      </w:pPr>
      <w:r>
        <w:rPr>
          <w:b/>
        </w:rPr>
        <w:t xml:space="preserve">1.  </w:t>
      </w:r>
      <w:r>
        <w:t>Cambio de demo decidido: agregar porcentajeCompletado a /tareas/resumen. Es pequeño, se ve en el navegador sobre staging y se explica en una frase.</w:t>
      </w:r>
    </w:p>
    <w:p>
      <w:pPr>
        <w:spacing w:after="60"/>
        <w:ind w:left="360"/>
      </w:pPr>
      <w:r>
        <w:rPr>
          <w:b/>
        </w:rPr>
        <w:t xml:space="preserve">2.  </w:t>
      </w:r>
      <w:r>
        <w:t>Tiempos medidos: el pipeline tarda unos 2 minutos y el cambio aparece en staging a los 2 min 27 s del merge. Se puede lanzar el push al empezar el minuto 1 para no esperar en silencio.</w:t>
      </w:r>
    </w:p>
    <w:p>
      <w:pPr>
        <w:spacing w:after="60"/>
        <w:ind w:left="360"/>
      </w:pPr>
      <w:r>
        <w:rPr>
          <w:b/>
        </w:rPr>
        <w:t xml:space="preserve">3.  </w:t>
      </w:r>
      <w:r>
        <w:t>Pestañas abiertas de antemano: el PR, la pestaña Actions, Railway en staging y la URL /tareas/resumen.</w:t>
      </w:r>
    </w:p>
    <w:p>
      <w:pPr>
        <w:spacing w:after="60"/>
        <w:ind w:left="360"/>
      </w:pPr>
      <w:r>
        <w:rPr>
          <w:b/>
        </w:rPr>
        <w:t xml:space="preserve">4.  </w:t>
      </w:r>
      <w:r>
        <w:t>Pruebas locales con --no-file-parallelism y E2E con el frontend sin API, por las condiciones del equipo descritas en la sección 1.1.</w:t>
      </w:r>
    </w:p>
    <w:p>
      <w:pPr>
        <w:pStyle w:val="Heading3"/>
      </w:pPr>
      <w:r>
        <w:t>Las dos preguntas que hay que tener respondidas</w:t>
      </w:r>
    </w:p>
    <w:p>
      <w:pPr>
        <w:spacing w:after="120"/>
      </w:pPr>
      <w:r>
        <w:rPr>
          <w:b/>
        </w:rPr>
        <w:t xml:space="preserve">«¿Qué pasaría si esta prueba fallara ahora?» </w:t>
      </w:r>
      <w:r>
        <w:t>El check de su job queda en rojo. Como main exige los cuatro checks, también a los administradores, el botón de merge no se habilita. Y aunque se pudiera integrar, Deploy a Staging depende de esos jobs con needs, así que nunca se ejecutaría.</w:t>
      </w:r>
    </w:p>
    <w:p>
      <w:pPr>
        <w:spacing w:after="120"/>
      </w:pPr>
      <w:r>
        <w:rPr>
          <w:b/>
        </w:rPr>
        <w:t xml:space="preserve">«¿Cómo harías un rollback de este cambio?» </w:t>
      </w:r>
      <w:r>
        <w:t>Railway → staging → Deployments → menú ⋮ del último despliegue sano → Redeploy, como en el Simulacro de Caos. Después, un git revert por el flujo normal para que main vuelva a coincidir con lo desplegado. Antes de todo eso, el healthcheck ya impide que un despliegue que no arranca reemplace al que funciona.</w:t>
      </w:r>
    </w:p>
    <w:p>
      <w:pPr>
        <w:pStyle w:val="Heading2"/>
      </w:pPr>
      <w:r>
        <w:t>2.3 — Cada etapa en una frase</w:t>
      </w:r>
    </w:p>
    <w:p>
      <w:pPr>
        <w:spacing w:after="60"/>
        <w:ind w:left="360"/>
      </w:pPr>
      <w:r>
        <w:rPr>
          <w:b/>
        </w:rPr>
        <w:t xml:space="preserve">1.  </w:t>
      </w:r>
      <w:r>
        <w:t>Lint: ESLint rechaza el código con errores de estilo o variables sin usar antes de que alguien lo revise.</w:t>
      </w:r>
    </w:p>
    <w:p>
      <w:pPr>
        <w:spacing w:after="60"/>
        <w:ind w:left="360"/>
      </w:pPr>
      <w:r>
        <w:rPr>
          <w:b/>
        </w:rPr>
        <w:t xml:space="preserve">2.  </w:t>
      </w:r>
      <w:r>
        <w:t>Pruebas: Vitest comprueba funciones, componentes y la API, y falla si la cobertura baja del umbral.</w:t>
      </w:r>
    </w:p>
    <w:p>
      <w:pPr>
        <w:spacing w:after="60"/>
        <w:ind w:left="360"/>
      </w:pPr>
      <w:r>
        <w:rPr>
          <w:b/>
        </w:rPr>
        <w:t xml:space="preserve">3.  </w:t>
      </w:r>
      <w:r>
        <w:t>E2E: Playwright abre un navegador real y crea una tarea como lo haría un usuario.</w:t>
      </w:r>
    </w:p>
    <w:p>
      <w:pPr>
        <w:spacing w:after="60"/>
        <w:ind w:left="360"/>
      </w:pPr>
      <w:r>
        <w:rPr>
          <w:b/>
        </w:rPr>
        <w:t xml:space="preserve">4.  </w:t>
      </w:r>
      <w:r>
        <w:t>Build: Astro genera el sitio; si no compila, no hay nada que desplegar.</w:t>
      </w:r>
    </w:p>
    <w:p>
      <w:pPr>
        <w:spacing w:after="60"/>
        <w:ind w:left="360"/>
      </w:pPr>
      <w:r>
        <w:rPr>
          <w:b/>
        </w:rPr>
        <w:t xml:space="preserve">5.  </w:t>
      </w:r>
      <w:r>
        <w:t>Contenedores: Compose levanta base de datos, API y frontend idénticos en cualquier máquina.</w:t>
      </w:r>
    </w:p>
    <w:p>
      <w:pPr>
        <w:spacing w:after="60"/>
        <w:ind w:left="360"/>
      </w:pPr>
      <w:r>
        <w:rPr>
          <w:b/>
        </w:rPr>
        <w:t xml:space="preserve">6.  </w:t>
      </w:r>
      <w:r>
        <w:t>Migraciones: el esquema se crea solo, en orden, y repetirlo no rompe nada.</w:t>
      </w:r>
    </w:p>
    <w:p>
      <w:pPr>
        <w:spacing w:after="60"/>
        <w:ind w:left="360"/>
      </w:pPr>
      <w:r>
        <w:rPr>
          <w:b/>
        </w:rPr>
        <w:t xml:space="preserve">7.  </w:t>
      </w:r>
      <w:r>
        <w:t>Despliegue: un merge publica en staging, producción exige escribir DEPLOY y el healthcheck protege contra versiones que no arrancan.</w:t>
      </w:r>
    </w:p>
    <w:p>
      <w:pPr>
        <w:pStyle w:val="Heading2"/>
      </w:pPr>
      <w:r>
        <w:t>2.4 — Si algo falla en vivo</w:t>
      </w:r>
    </w:p>
    <w:p>
      <w:pPr>
        <w:spacing w:after="120"/>
      </w:pPr>
      <w:r>
        <w:rPr>
          <w:b w:val="0"/>
          <w:i w:val="0"/>
          <w:sz w:val="22"/>
        </w:rPr>
        <w:t>La guía lo dice claro: un fallo real, diagnosticado con calma, demuestra más que una demo perfecta. Plan: leer el error en voz alta, ubicar la etapa y aplicar la tabla de la sección 1.3, que no es teórica, porque cada fila ya ocurrió de verdad durante el ensayo.</w:t>
      </w:r>
    </w:p>
    <w:p>
      <w:r>
        <w:br w:type="page"/>
      </w:r>
    </w:p>
    <w:p>
      <w:pPr>
        <w:pStyle w:val="Heading1"/>
      </w:pPr>
      <w:r>
        <w:t>3. Certificación en Vivo — el rol de auditor</w:t>
      </w:r>
    </w:p>
    <w:p>
      <w:pPr>
        <w:spacing w:after="120"/>
      </w:pPr>
      <w:r>
        <w:rPr>
          <w:b w:val="0"/>
          <w:i w:val="0"/>
          <w:sz w:val="22"/>
        </w:rPr>
        <w:t>Durante las demos de los compañeros:</w:t>
      </w:r>
    </w:p>
    <w:p>
      <w:pPr>
        <w:spacing w:after="60"/>
        <w:ind w:left="360"/>
      </w:pPr>
      <w:r>
        <w:rPr>
          <w:b/>
        </w:rPr>
        <w:t xml:space="preserve">1.  </w:t>
      </w:r>
      <w:r>
        <w:t>Marcar una etapa solo si se ve ejecutarse en pantalla, no si se menciona.</w:t>
      </w:r>
    </w:p>
    <w:p>
      <w:pPr>
        <w:spacing w:after="60"/>
        <w:ind w:left="360"/>
      </w:pPr>
      <w:r>
        <w:rPr>
          <w:b/>
        </w:rPr>
        <w:t xml:space="preserve">2.  </w:t>
      </w:r>
      <w:r>
        <w:t>Si hay duda sobre si una etapa corrió en ese pipeline o en uno anterior, preguntarlo al final. Una forma rápida de saberlo es fijarse en la hora del run y en el commit.</w:t>
      </w:r>
    </w:p>
    <w:p>
      <w:pPr>
        <w:spacing w:after="60"/>
        <w:ind w:left="360"/>
      </w:pPr>
      <w:r>
        <w:rPr>
          <w:b/>
        </w:rPr>
        <w:t xml:space="preserve">3.  </w:t>
      </w:r>
      <w:r>
        <w:t>Cerrar con una observación breve y genuina: algo bien resuelto o una pregunta técnica.</w:t>
      </w:r>
    </w:p>
    <w:p>
      <w:pPr>
        <w:spacing w:after="120"/>
      </w:pPr>
      <w:r>
        <w:rPr>
          <w:b/>
        </w:rPr>
        <w:t xml:space="preserve">Qué mirar con ojo de auditor, por la experiencia propia: </w:t>
      </w:r>
      <w:r>
        <w:t>un Deploy a Staging en verde no prueba que se desplegó. En la Sesión 7 el job pasó en verde omitiendo el despliegue por falta de token. Hay que ver la URL respondiendo con el cambio nuevo.</w:t>
      </w:r>
    </w:p>
    <w:p>
      <w:pPr>
        <w:pStyle w:val="Heading1"/>
      </w:pPr>
      <w:r>
        <w:t>4. Rúbrica — Autoevaluación del ensayo general</w:t>
      </w:r>
    </w:p>
    <w:p>
      <w:pPr>
        <w:spacing w:after="120"/>
      </w:pPr>
      <w:r>
        <w:rPr>
          <w:b w:val="0"/>
          <w:i w:val="0"/>
          <w:sz w:val="22"/>
        </w:rPr>
        <w:t>La certificación oficial la hacen los auditores durante la presentación en vivo. Esta tabla registra lo que se vio ejecutarse en el ensayo, con su evidencia:</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val="clear" w:color="auto" w:fill="1F4E79"/>
          </w:tcPr>
          <w:p>
            <w:pPr>
              <w:spacing w:after="40"/>
            </w:pPr>
            <w:r/>
            <w:r>
              <w:rPr>
                <w:b/>
                <w:color w:val="FFFFFF"/>
                <w:sz w:val="20"/>
              </w:rPr>
              <w:t>Etapa del pipeline</w:t>
            </w:r>
          </w:p>
        </w:tc>
        <w:tc>
          <w:tcPr>
            <w:tcW w:type="dxa" w:w="2016"/>
            <w:shd w:val="clear" w:color="auto" w:fill="1F4E79"/>
          </w:tcPr>
          <w:p>
            <w:pPr>
              <w:spacing w:after="40"/>
            </w:pPr>
            <w:r/>
            <w:r>
              <w:rPr>
                <w:b/>
                <w:color w:val="FFFFFF"/>
                <w:sz w:val="20"/>
              </w:rPr>
              <w:t>¿Vista en ejecución?</w:t>
            </w:r>
          </w:p>
        </w:tc>
        <w:tc>
          <w:tcPr>
            <w:tcW w:type="dxa" w:w="3024"/>
            <w:shd w:val="clear" w:color="auto" w:fill="1F4E79"/>
          </w:tcPr>
          <w:p>
            <w:pPr>
              <w:spacing w:after="40"/>
            </w:pPr>
            <w:r/>
            <w:r>
              <w:rPr>
                <w:b/>
                <w:color w:val="FFFFFF"/>
                <w:sz w:val="20"/>
              </w:rPr>
              <w:t>Evidencia</w:t>
            </w:r>
          </w:p>
        </w:tc>
      </w:tr>
      <w:tr>
        <w:tc>
          <w:tcPr>
            <w:tcW w:type="dxa" w:w="4320"/>
          </w:tcPr>
          <w:p>
            <w:pPr>
              <w:spacing w:after="40"/>
            </w:pPr>
            <w:r/>
            <w:r>
              <w:rPr>
                <w:sz w:val="20"/>
              </w:rPr>
              <w:t>1. Lint</w:t>
            </w:r>
          </w:p>
        </w:tc>
        <w:tc>
          <w:tcPr>
            <w:tcW w:type="dxa" w:w="2016"/>
          </w:tcPr>
          <w:p>
            <w:pPr>
              <w:spacing w:after="40"/>
            </w:pPr>
            <w:r/>
            <w:r>
              <w:rPr>
                <w:b/>
                <w:color w:val="1E7B34"/>
                <w:sz w:val="20"/>
              </w:rPr>
              <w:t>Sí</w:t>
            </w:r>
          </w:p>
        </w:tc>
        <w:tc>
          <w:tcPr>
            <w:tcW w:type="dxa" w:w="3024"/>
          </w:tcPr>
          <w:p>
            <w:pPr>
              <w:spacing w:after="40"/>
            </w:pPr>
            <w:r/>
            <w:r>
              <w:rPr>
                <w:sz w:val="20"/>
              </w:rPr>
              <w:t>Figura 5, job Lint &amp; Build</w:t>
            </w:r>
          </w:p>
        </w:tc>
      </w:tr>
      <w:tr>
        <w:tc>
          <w:tcPr>
            <w:tcW w:type="dxa" w:w="4320"/>
          </w:tcPr>
          <w:p>
            <w:pPr>
              <w:spacing w:after="40"/>
            </w:pPr>
            <w:r/>
            <w:r>
              <w:rPr>
                <w:sz w:val="20"/>
              </w:rPr>
              <w:t>2. Pruebas unitarias, de componente y de API</w:t>
            </w:r>
          </w:p>
        </w:tc>
        <w:tc>
          <w:tcPr>
            <w:tcW w:type="dxa" w:w="2016"/>
          </w:tcPr>
          <w:p>
            <w:pPr>
              <w:spacing w:after="40"/>
            </w:pPr>
            <w:r/>
            <w:r>
              <w:rPr>
                <w:b/>
                <w:color w:val="1E7B34"/>
                <w:sz w:val="20"/>
              </w:rPr>
              <w:t>Sí</w:t>
            </w:r>
          </w:p>
        </w:tc>
        <w:tc>
          <w:tcPr>
            <w:tcW w:type="dxa" w:w="3024"/>
          </w:tcPr>
          <w:p>
            <w:pPr>
              <w:spacing w:after="40"/>
            </w:pPr>
            <w:r/>
            <w:r>
              <w:rPr>
                <w:sz w:val="20"/>
              </w:rPr>
              <w:t>Figura 5 y sección 1.1</w:t>
            </w:r>
          </w:p>
        </w:tc>
      </w:tr>
      <w:tr>
        <w:tc>
          <w:tcPr>
            <w:tcW w:type="dxa" w:w="4320"/>
          </w:tcPr>
          <w:p>
            <w:pPr>
              <w:spacing w:after="40"/>
            </w:pPr>
            <w:r/>
            <w:r>
              <w:rPr>
                <w:sz w:val="20"/>
              </w:rPr>
              <w:t>3. Prueba E2E</w:t>
            </w:r>
          </w:p>
        </w:tc>
        <w:tc>
          <w:tcPr>
            <w:tcW w:type="dxa" w:w="2016"/>
          </w:tcPr>
          <w:p>
            <w:pPr>
              <w:spacing w:after="40"/>
            </w:pPr>
            <w:r/>
            <w:r>
              <w:rPr>
                <w:b/>
                <w:color w:val="1E7B34"/>
                <w:sz w:val="20"/>
              </w:rPr>
              <w:t>Sí</w:t>
            </w:r>
          </w:p>
        </w:tc>
        <w:tc>
          <w:tcPr>
            <w:tcW w:type="dxa" w:w="3024"/>
          </w:tcPr>
          <w:p>
            <w:pPr>
              <w:spacing w:after="40"/>
            </w:pPr>
            <w:r/>
            <w:r>
              <w:rPr>
                <w:sz w:val="20"/>
              </w:rPr>
              <w:t>Figura 5, job Pruebas E2E</w:t>
            </w:r>
          </w:p>
        </w:tc>
      </w:tr>
      <w:tr>
        <w:tc>
          <w:tcPr>
            <w:tcW w:type="dxa" w:w="4320"/>
          </w:tcPr>
          <w:p>
            <w:pPr>
              <w:spacing w:after="40"/>
            </w:pPr>
            <w:r/>
            <w:r>
              <w:rPr>
                <w:sz w:val="20"/>
              </w:rPr>
              <w:t>4. Build</w:t>
            </w:r>
          </w:p>
        </w:tc>
        <w:tc>
          <w:tcPr>
            <w:tcW w:type="dxa" w:w="2016"/>
          </w:tcPr>
          <w:p>
            <w:pPr>
              <w:spacing w:after="40"/>
            </w:pPr>
            <w:r/>
            <w:r>
              <w:rPr>
                <w:b/>
                <w:color w:val="1E7B34"/>
                <w:sz w:val="20"/>
              </w:rPr>
              <w:t>Sí</w:t>
            </w:r>
          </w:p>
        </w:tc>
        <w:tc>
          <w:tcPr>
            <w:tcW w:type="dxa" w:w="3024"/>
          </w:tcPr>
          <w:p>
            <w:pPr>
              <w:spacing w:after="40"/>
            </w:pPr>
            <w:r/>
            <w:r>
              <w:rPr>
                <w:sz w:val="20"/>
              </w:rPr>
              <w:t>Figura 5, job Lint &amp; Build</w:t>
            </w:r>
          </w:p>
        </w:tc>
      </w:tr>
      <w:tr>
        <w:tc>
          <w:tcPr>
            <w:tcW w:type="dxa" w:w="4320"/>
          </w:tcPr>
          <w:p>
            <w:pPr>
              <w:spacing w:after="40"/>
            </w:pPr>
            <w:r/>
            <w:r>
              <w:rPr>
                <w:sz w:val="20"/>
              </w:rPr>
              <w:t>5. Contenerización</w:t>
            </w:r>
          </w:p>
        </w:tc>
        <w:tc>
          <w:tcPr>
            <w:tcW w:type="dxa" w:w="2016"/>
          </w:tcPr>
          <w:p>
            <w:pPr>
              <w:spacing w:after="40"/>
            </w:pPr>
            <w:r/>
            <w:r>
              <w:rPr>
                <w:b/>
                <w:color w:val="1E7B34"/>
                <w:sz w:val="20"/>
              </w:rPr>
              <w:t>Sí</w:t>
            </w:r>
          </w:p>
        </w:tc>
        <w:tc>
          <w:tcPr>
            <w:tcW w:type="dxa" w:w="3024"/>
          </w:tcPr>
          <w:p>
            <w:pPr>
              <w:spacing w:after="40"/>
            </w:pPr>
            <w:r/>
            <w:r>
              <w:rPr>
                <w:sz w:val="20"/>
              </w:rPr>
              <w:t>Sección 1.1, etapa 5</w:t>
            </w:r>
          </w:p>
        </w:tc>
      </w:tr>
      <w:tr>
        <w:tc>
          <w:tcPr>
            <w:tcW w:type="dxa" w:w="4320"/>
          </w:tcPr>
          <w:p>
            <w:pPr>
              <w:spacing w:after="40"/>
            </w:pPr>
            <w:r/>
            <w:r>
              <w:rPr>
                <w:sz w:val="20"/>
              </w:rPr>
              <w:t>6. Migraciones y seed automáticos</w:t>
            </w:r>
          </w:p>
        </w:tc>
        <w:tc>
          <w:tcPr>
            <w:tcW w:type="dxa" w:w="2016"/>
          </w:tcPr>
          <w:p>
            <w:pPr>
              <w:spacing w:after="40"/>
            </w:pPr>
            <w:r/>
            <w:r>
              <w:rPr>
                <w:b/>
                <w:color w:val="1E7B34"/>
                <w:sz w:val="20"/>
              </w:rPr>
              <w:t>Sí</w:t>
            </w:r>
          </w:p>
        </w:tc>
        <w:tc>
          <w:tcPr>
            <w:tcW w:type="dxa" w:w="3024"/>
          </w:tcPr>
          <w:p>
            <w:pPr>
              <w:spacing w:after="40"/>
            </w:pPr>
            <w:r/>
            <w:r>
              <w:rPr>
                <w:sz w:val="20"/>
              </w:rPr>
              <w:t>Figura 5, job Migraciones y Seeds</w:t>
            </w:r>
          </w:p>
        </w:tc>
      </w:tr>
      <w:tr>
        <w:tc>
          <w:tcPr>
            <w:tcW w:type="dxa" w:w="4320"/>
          </w:tcPr>
          <w:p>
            <w:pPr>
              <w:spacing w:after="40"/>
            </w:pPr>
            <w:r/>
            <w:r>
              <w:rPr>
                <w:sz w:val="20"/>
              </w:rPr>
              <w:t>7. Despliegue automático a staging</w:t>
            </w:r>
          </w:p>
        </w:tc>
        <w:tc>
          <w:tcPr>
            <w:tcW w:type="dxa" w:w="2016"/>
          </w:tcPr>
          <w:p>
            <w:pPr>
              <w:spacing w:after="40"/>
            </w:pPr>
            <w:r/>
            <w:r>
              <w:rPr>
                <w:b/>
                <w:color w:val="1E7B34"/>
                <w:sz w:val="20"/>
              </w:rPr>
              <w:t>Sí</w:t>
            </w:r>
          </w:p>
        </w:tc>
        <w:tc>
          <w:tcPr>
            <w:tcW w:type="dxa" w:w="3024"/>
          </w:tcPr>
          <w:p>
            <w:pPr>
              <w:spacing w:after="40"/>
            </w:pPr>
            <w:r/>
            <w:r>
              <w:rPr>
                <w:sz w:val="20"/>
              </w:rPr>
              <w:t>Figuras 5, 6 y 8</w:t>
            </w:r>
          </w:p>
        </w:tc>
      </w:tr>
    </w:tbl>
    <w:p>
      <w:pPr>
        <w:spacing w:after="40"/>
      </w:pPr>
    </w:p>
    <w:p>
      <w:pPr>
        <w:spacing w:after="120"/>
      </w:pPr>
      <w:r>
        <w:rPr>
          <w:b w:val="0"/>
          <w:i w:val="0"/>
          <w:sz w:val="22"/>
        </w:rPr>
        <w:t>Siete de siete en el ensayo, por encima del mínimo de cinco que exige la insignia 🏆 Graduado/a Misión DevOps (25 pts). La insignia se otorga en la Certificación en Vivo, cuando los auditores ven las etapas ejecutarse durante la presentación.</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val="clear" w:color="auto" w:fill="1F4E79"/>
          </w:tcPr>
          <w:p>
            <w:pPr>
              <w:spacing w:after="40"/>
            </w:pPr>
            <w:r/>
            <w:r>
              <w:rPr>
                <w:b/>
                <w:color w:val="FFFFFF"/>
                <w:sz w:val="20"/>
              </w:rPr>
              <w:t>Criterio</w:t>
            </w:r>
          </w:p>
        </w:tc>
        <w:tc>
          <w:tcPr>
            <w:tcW w:type="dxa" w:w="1728"/>
            <w:shd w:val="clear" w:color="auto" w:fill="1F4E79"/>
          </w:tcPr>
          <w:p>
            <w:pPr>
              <w:spacing w:after="40"/>
            </w:pPr>
            <w:r/>
            <w:r>
              <w:rPr>
                <w:b/>
                <w:color w:val="FFFFFF"/>
                <w:sz w:val="20"/>
              </w:rPr>
              <w:t>Ponderación</w:t>
            </w:r>
          </w:p>
        </w:tc>
        <w:tc>
          <w:tcPr>
            <w:tcW w:type="dxa" w:w="3600"/>
            <w:shd w:val="clear" w:color="auto" w:fill="1F4E79"/>
          </w:tcPr>
          <w:p>
            <w:pPr>
              <w:spacing w:after="40"/>
            </w:pPr>
            <w:r/>
            <w:r>
              <w:rPr>
                <w:b/>
                <w:color w:val="FFFFFF"/>
                <w:sz w:val="20"/>
              </w:rPr>
              <w:t>Preparación</w:t>
            </w:r>
          </w:p>
        </w:tc>
      </w:tr>
      <w:tr>
        <w:tc>
          <w:tcPr>
            <w:tcW w:type="dxa" w:w="4032"/>
          </w:tcPr>
          <w:p>
            <w:pPr>
              <w:spacing w:after="40"/>
            </w:pPr>
            <w:r/>
            <w:r>
              <w:rPr>
                <w:sz w:val="20"/>
              </w:rPr>
              <w:t>Claridad de la explicación técnica</w:t>
            </w:r>
          </w:p>
        </w:tc>
        <w:tc>
          <w:tcPr>
            <w:tcW w:type="dxa" w:w="1728"/>
          </w:tcPr>
          <w:p>
            <w:pPr>
              <w:spacing w:after="40"/>
            </w:pPr>
            <w:r/>
            <w:r>
              <w:rPr>
                <w:sz w:val="20"/>
              </w:rPr>
              <w:t>30%</w:t>
            </w:r>
          </w:p>
        </w:tc>
        <w:tc>
          <w:tcPr>
            <w:tcW w:type="dxa" w:w="3600"/>
          </w:tcPr>
          <w:p>
            <w:pPr>
              <w:spacing w:after="40"/>
            </w:pPr>
            <w:r/>
            <w:r>
              <w:rPr>
                <w:sz w:val="20"/>
              </w:rPr>
              <w:t>Frases por etapa (sección 2.3)</w:t>
            </w:r>
          </w:p>
        </w:tc>
      </w:tr>
      <w:tr>
        <w:tc>
          <w:tcPr>
            <w:tcW w:type="dxa" w:w="4032"/>
          </w:tcPr>
          <w:p>
            <w:pPr>
              <w:spacing w:after="40"/>
            </w:pPr>
            <w:r/>
            <w:r>
              <w:rPr>
                <w:sz w:val="20"/>
              </w:rPr>
              <w:t>Manejo de preguntas e imprevistos</w:t>
            </w:r>
          </w:p>
        </w:tc>
        <w:tc>
          <w:tcPr>
            <w:tcW w:type="dxa" w:w="1728"/>
          </w:tcPr>
          <w:p>
            <w:pPr>
              <w:spacing w:after="40"/>
            </w:pPr>
            <w:r/>
            <w:r>
              <w:rPr>
                <w:sz w:val="20"/>
              </w:rPr>
              <w:t>30%</w:t>
            </w:r>
          </w:p>
        </w:tc>
        <w:tc>
          <w:tcPr>
            <w:tcW w:type="dxa" w:w="3600"/>
          </w:tcPr>
          <w:p>
            <w:pPr>
              <w:spacing w:after="40"/>
            </w:pPr>
            <w:r/>
            <w:r>
              <w:rPr>
                <w:sz w:val="20"/>
              </w:rPr>
              <w:t>Respuestas y tabla de fallos reales</w:t>
            </w:r>
          </w:p>
        </w:tc>
      </w:tr>
      <w:tr>
        <w:tc>
          <w:tcPr>
            <w:tcW w:type="dxa" w:w="4032"/>
          </w:tcPr>
          <w:p>
            <w:pPr>
              <w:spacing w:after="40"/>
            </w:pPr>
            <w:r/>
            <w:r>
              <w:rPr>
                <w:sz w:val="20"/>
              </w:rPr>
              <w:t>Etapas certificadas en vivo</w:t>
            </w:r>
          </w:p>
        </w:tc>
        <w:tc>
          <w:tcPr>
            <w:tcW w:type="dxa" w:w="1728"/>
          </w:tcPr>
          <w:p>
            <w:pPr>
              <w:spacing w:after="40"/>
            </w:pPr>
            <w:r/>
            <w:r>
              <w:rPr>
                <w:sz w:val="20"/>
              </w:rPr>
              <w:t>40%</w:t>
            </w:r>
          </w:p>
        </w:tc>
        <w:tc>
          <w:tcPr>
            <w:tcW w:type="dxa" w:w="3600"/>
          </w:tcPr>
          <w:p>
            <w:pPr>
              <w:spacing w:after="40"/>
            </w:pPr>
            <w:r/>
            <w:r>
              <w:rPr>
                <w:sz w:val="20"/>
              </w:rPr>
              <w:t>7 de 7 verificadas en el ensayo</w:t>
            </w:r>
          </w:p>
        </w:tc>
      </w:tr>
    </w:tbl>
    <w:p>
      <w:pPr>
        <w:spacing w:after="40"/>
      </w:pPr>
    </w:p>
    <w:p>
      <w:r>
        <w:br w:type="page"/>
      </w:r>
    </w:p>
    <w:p>
      <w:pPr>
        <w:pStyle w:val="Heading1"/>
      </w:pPr>
      <w:r>
        <w:t>Anexo A — Índice de evidencias</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1F4E79"/>
          </w:tcPr>
          <w:p>
            <w:pPr>
              <w:spacing w:after="40"/>
            </w:pPr>
            <w:r/>
            <w:r>
              <w:rPr>
                <w:b/>
                <w:color w:val="FFFFFF"/>
                <w:sz w:val="20"/>
              </w:rPr>
              <w:t>Archivo</w:t>
            </w:r>
          </w:p>
        </w:tc>
        <w:tc>
          <w:tcPr>
            <w:tcW w:type="dxa" w:w="5040"/>
            <w:shd w:val="clear" w:color="auto" w:fill="1F4E79"/>
          </w:tcPr>
          <w:p>
            <w:pPr>
              <w:spacing w:after="40"/>
            </w:pPr>
            <w:r/>
            <w:r>
              <w:rPr>
                <w:b/>
                <w:color w:val="FFFFFF"/>
                <w:sz w:val="20"/>
              </w:rPr>
              <w:t>Contenido</w:t>
            </w:r>
          </w:p>
        </w:tc>
      </w:tr>
      <w:tr>
        <w:tc>
          <w:tcPr>
            <w:tcW w:type="dxa" w:w="4320"/>
          </w:tcPr>
          <w:p>
            <w:pPr>
              <w:spacing w:after="40"/>
            </w:pPr>
            <w:r/>
            <w:r>
              <w:rPr>
                <w:sz w:val="20"/>
              </w:rPr>
              <w:t>01-demo-lista-vacia.png</w:t>
            </w:r>
          </w:p>
        </w:tc>
        <w:tc>
          <w:tcPr>
            <w:tcW w:type="dxa" w:w="5040"/>
          </w:tcPr>
          <w:p>
            <w:pPr>
              <w:spacing w:after="40"/>
            </w:pPr>
            <w:r/>
            <w:r>
              <w:rPr>
                <w:sz w:val="20"/>
              </w:rPr>
              <w:t>La lista vacía con el mensaje nuevo</w:t>
            </w:r>
          </w:p>
        </w:tc>
      </w:tr>
      <w:tr>
        <w:tc>
          <w:tcPr>
            <w:tcW w:type="dxa" w:w="4320"/>
          </w:tcPr>
          <w:p>
            <w:pPr>
              <w:spacing w:after="40"/>
            </w:pPr>
            <w:r/>
            <w:r>
              <w:rPr>
                <w:sz w:val="20"/>
              </w:rPr>
              <w:t>01b-demo-con-tarea.png</w:t>
            </w:r>
          </w:p>
        </w:tc>
        <w:tc>
          <w:tcPr>
            <w:tcW w:type="dxa" w:w="5040"/>
          </w:tcPr>
          <w:p>
            <w:pPr>
              <w:spacing w:after="40"/>
            </w:pPr>
            <w:r/>
            <w:r>
              <w:rPr>
                <w:sz w:val="20"/>
              </w:rPr>
              <w:t>La lista con la primera tarea</w:t>
            </w:r>
          </w:p>
        </w:tc>
      </w:tr>
      <w:tr>
        <w:tc>
          <w:tcPr>
            <w:tcW w:type="dxa" w:w="4320"/>
          </w:tcPr>
          <w:p>
            <w:pPr>
              <w:spacing w:after="40"/>
            </w:pPr>
            <w:r/>
            <w:r>
              <w:rPr>
                <w:sz w:val="20"/>
              </w:rPr>
              <w:t>02-run17-pr-checks.jpg</w:t>
            </w:r>
          </w:p>
        </w:tc>
        <w:tc>
          <w:tcPr>
            <w:tcW w:type="dxa" w:w="5040"/>
          </w:tcPr>
          <w:p>
            <w:pPr>
              <w:spacing w:after="40"/>
            </w:pPr>
            <w:r/>
            <w:r>
              <w:rPr>
                <w:sz w:val="20"/>
              </w:rPr>
              <w:t>Run del PR #11: cuatro checks en verde</w:t>
            </w:r>
          </w:p>
        </w:tc>
      </w:tr>
      <w:tr>
        <w:tc>
          <w:tcPr>
            <w:tcW w:type="dxa" w:w="4320"/>
          </w:tcPr>
          <w:p>
            <w:pPr>
              <w:spacing w:after="40"/>
            </w:pPr>
            <w:r/>
            <w:r>
              <w:rPr>
                <w:sz w:val="20"/>
              </w:rPr>
              <w:t>03-pr11-integrado.jpg</w:t>
            </w:r>
          </w:p>
        </w:tc>
        <w:tc>
          <w:tcPr>
            <w:tcW w:type="dxa" w:w="5040"/>
          </w:tcPr>
          <w:p>
            <w:pPr>
              <w:spacing w:after="40"/>
            </w:pPr>
            <w:r/>
            <w:r>
              <w:rPr>
                <w:sz w:val="20"/>
              </w:rPr>
              <w:t>PR #11 integrado</w:t>
            </w:r>
          </w:p>
        </w:tc>
      </w:tr>
      <w:tr>
        <w:tc>
          <w:tcPr>
            <w:tcW w:type="dxa" w:w="4320"/>
          </w:tcPr>
          <w:p>
            <w:pPr>
              <w:spacing w:after="40"/>
            </w:pPr>
            <w:r/>
            <w:r>
              <w:rPr>
                <w:sz w:val="20"/>
              </w:rPr>
              <w:t>04-run31-deploy-staging.jpg</w:t>
            </w:r>
          </w:p>
        </w:tc>
        <w:tc>
          <w:tcPr>
            <w:tcW w:type="dxa" w:w="5040"/>
          </w:tcPr>
          <w:p>
            <w:pPr>
              <w:spacing w:after="40"/>
            </w:pPr>
            <w:r/>
            <w:r>
              <w:rPr>
                <w:sz w:val="20"/>
              </w:rPr>
              <w:t>Run #31: despliegue a staging tras el PR #17</w:t>
            </w:r>
          </w:p>
        </w:tc>
      </w:tr>
      <w:tr>
        <w:tc>
          <w:tcPr>
            <w:tcW w:type="dxa" w:w="4320"/>
          </w:tcPr>
          <w:p>
            <w:pPr>
              <w:spacing w:after="40"/>
            </w:pPr>
            <w:r/>
            <w:r>
              <w:rPr>
                <w:sz w:val="20"/>
              </w:rPr>
              <w:t>05-staging-resumen.png</w:t>
            </w:r>
          </w:p>
        </w:tc>
        <w:tc>
          <w:tcPr>
            <w:tcW w:type="dxa" w:w="5040"/>
          </w:tcPr>
          <w:p>
            <w:pPr>
              <w:spacing w:after="40"/>
            </w:pPr>
            <w:r/>
            <w:r>
              <w:rPr>
                <w:sz w:val="20"/>
              </w:rPr>
              <w:t>El endpoint nuevo en la URL de staging</w:t>
            </w:r>
          </w:p>
        </w:tc>
      </w:tr>
      <w:tr>
        <w:tc>
          <w:tcPr>
            <w:tcW w:type="dxa" w:w="4320"/>
          </w:tcPr>
          <w:p>
            <w:pPr>
              <w:spacing w:after="40"/>
            </w:pPr>
            <w:r/>
            <w:r>
              <w:rPr>
                <w:sz w:val="20"/>
              </w:rPr>
              <w:t>06-produccion-sin-resumen.png</w:t>
            </w:r>
          </w:p>
        </w:tc>
        <w:tc>
          <w:tcPr>
            <w:tcW w:type="dxa" w:w="5040"/>
          </w:tcPr>
          <w:p>
            <w:pPr>
              <w:spacing w:after="40"/>
            </w:pPr>
            <w:r/>
            <w:r>
              <w:rPr>
                <w:sz w:val="20"/>
              </w:rPr>
              <w:t>Producción sin el cambio: 404</w:t>
            </w:r>
          </w:p>
        </w:tc>
      </w:tr>
      <w:tr>
        <w:tc>
          <w:tcPr>
            <w:tcW w:type="dxa" w:w="4320"/>
          </w:tcPr>
          <w:p>
            <w:pPr>
              <w:spacing w:after="40"/>
            </w:pPr>
            <w:r/>
            <w:r>
              <w:rPr>
                <w:sz w:val="20"/>
              </w:rPr>
              <w:t>07-railway-historial-staging.jpg</w:t>
            </w:r>
          </w:p>
        </w:tc>
        <w:tc>
          <w:tcPr>
            <w:tcW w:type="dxa" w:w="5040"/>
          </w:tcPr>
          <w:p>
            <w:pPr>
              <w:spacing w:after="40"/>
            </w:pPr>
            <w:r/>
            <w:r>
              <w:rPr>
                <w:sz w:val="20"/>
              </w:rPr>
              <w:t>Historial de despliegues en Railway</w:t>
            </w:r>
          </w:p>
        </w:tc>
      </w:tr>
    </w:tbl>
    <w:p>
      <w:pPr>
        <w:spacing w:after="40"/>
      </w:pPr>
    </w:p>
    <w:p>
      <w:pPr>
        <w:pStyle w:val="Heading1"/>
      </w:pPr>
      <w:r>
        <w:t>Anexo B — Cambios de la sesión</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1F4E79"/>
          </w:tcPr>
          <w:p>
            <w:pPr>
              <w:spacing w:after="40"/>
            </w:pPr>
            <w:r/>
            <w:r>
              <w:rPr>
                <w:b/>
                <w:color w:val="FFFFFF"/>
                <w:sz w:val="20"/>
              </w:rPr>
              <w:t>PR</w:t>
            </w:r>
          </w:p>
        </w:tc>
        <w:tc>
          <w:tcPr>
            <w:tcW w:type="dxa" w:w="1296"/>
            <w:shd w:val="clear" w:color="auto" w:fill="1F4E79"/>
          </w:tcPr>
          <w:p>
            <w:pPr>
              <w:spacing w:after="40"/>
            </w:pPr>
            <w:r/>
            <w:r>
              <w:rPr>
                <w:b/>
                <w:color w:val="FFFFFF"/>
                <w:sz w:val="20"/>
              </w:rPr>
              <w:t>Commit</w:t>
            </w:r>
          </w:p>
        </w:tc>
        <w:tc>
          <w:tcPr>
            <w:tcW w:type="dxa" w:w="7056"/>
            <w:shd w:val="clear" w:color="auto" w:fill="1F4E79"/>
          </w:tcPr>
          <w:p>
            <w:pPr>
              <w:spacing w:after="40"/>
            </w:pPr>
            <w:r/>
            <w:r>
              <w:rPr>
                <w:b/>
                <w:color w:val="FFFFFF"/>
                <w:sz w:val="20"/>
              </w:rPr>
              <w:t>Qué cambió</w:t>
            </w:r>
          </w:p>
        </w:tc>
      </w:tr>
      <w:tr>
        <w:tc>
          <w:tcPr>
            <w:tcW w:type="dxa" w:w="1008"/>
          </w:tcPr>
          <w:p>
            <w:pPr>
              <w:spacing w:after="40"/>
            </w:pPr>
            <w:r/>
            <w:r>
              <w:rPr>
                <w:sz w:val="20"/>
              </w:rPr>
              <w:t>#11</w:t>
            </w:r>
          </w:p>
        </w:tc>
        <w:tc>
          <w:tcPr>
            <w:tcW w:type="dxa" w:w="1296"/>
          </w:tcPr>
          <w:p>
            <w:pPr>
              <w:spacing w:after="40"/>
            </w:pPr>
            <w:r/>
            <w:r>
              <w:rPr>
                <w:sz w:val="20"/>
              </w:rPr>
              <w:t>fix</w:t>
            </w:r>
          </w:p>
        </w:tc>
        <w:tc>
          <w:tcPr>
            <w:tcW w:type="dxa" w:w="7056"/>
          </w:tcPr>
          <w:p>
            <w:pPr>
              <w:spacing w:after="40"/>
            </w:pPr>
            <w:r/>
            <w:r>
              <w:rPr>
                <w:sz w:val="20"/>
              </w:rPr>
              <w:t>Dockerfile.backend copia db/: la imagen de main ya arranca</w:t>
            </w:r>
          </w:p>
        </w:tc>
      </w:tr>
      <w:tr>
        <w:tc>
          <w:tcPr>
            <w:tcW w:type="dxa" w:w="1008"/>
          </w:tcPr>
          <w:p>
            <w:pPr>
              <w:spacing w:after="40"/>
            </w:pPr>
            <w:r/>
            <w:r>
              <w:rPr>
                <w:sz w:val="20"/>
              </w:rPr>
              <w:t>#11</w:t>
            </w:r>
          </w:p>
        </w:tc>
        <w:tc>
          <w:tcPr>
            <w:tcW w:type="dxa" w:w="1296"/>
          </w:tcPr>
          <w:p>
            <w:pPr>
              <w:spacing w:after="40"/>
            </w:pPr>
            <w:r/>
            <w:r>
              <w:rPr>
                <w:sz w:val="20"/>
              </w:rPr>
              <w:t>feat</w:t>
            </w:r>
          </w:p>
        </w:tc>
        <w:tc>
          <w:tcPr>
            <w:tcW w:type="dxa" w:w="7056"/>
          </w:tcPr>
          <w:p>
            <w:pPr>
              <w:spacing w:after="40"/>
            </w:pPr>
            <w:r/>
            <w:r>
              <w:rPr>
                <w:sz w:val="20"/>
              </w:rPr>
              <w:t>Mensaje de lista vacía, con prueba de componente y E2E</w:t>
            </w:r>
          </w:p>
        </w:tc>
      </w:tr>
      <w:tr>
        <w:tc>
          <w:tcPr>
            <w:tcW w:type="dxa" w:w="1008"/>
          </w:tcPr>
          <w:p>
            <w:pPr>
              <w:spacing w:after="40"/>
            </w:pPr>
            <w:r/>
            <w:r>
              <w:rPr>
                <w:sz w:val="20"/>
              </w:rPr>
              <w:t>#17</w:t>
            </w:r>
          </w:p>
        </w:tc>
        <w:tc>
          <w:tcPr>
            <w:tcW w:type="dxa" w:w="1296"/>
          </w:tcPr>
          <w:p>
            <w:pPr>
              <w:spacing w:after="40"/>
            </w:pPr>
            <w:r/>
            <w:r>
              <w:rPr>
                <w:sz w:val="20"/>
              </w:rPr>
              <w:t>feat</w:t>
            </w:r>
          </w:p>
        </w:tc>
        <w:tc>
          <w:tcPr>
            <w:tcW w:type="dxa" w:w="7056"/>
          </w:tcPr>
          <w:p>
            <w:pPr>
              <w:spacing w:after="40"/>
            </w:pPr>
            <w:r/>
            <w:r>
              <w:rPr>
                <w:sz w:val="20"/>
              </w:rPr>
              <w:t>GET /tareas/resumen, con tres pruebas de API</w:t>
            </w:r>
          </w:p>
        </w:tc>
      </w:tr>
      <w:tr>
        <w:tc>
          <w:tcPr>
            <w:tcW w:type="dxa" w:w="1008"/>
          </w:tcPr>
          <w:p>
            <w:pPr>
              <w:spacing w:after="40"/>
            </w:pPr>
            <w:r/>
            <w:r>
              <w:rPr>
                <w:sz w:val="20"/>
              </w:rPr>
              <w:t>—</w:t>
            </w:r>
          </w:p>
        </w:tc>
        <w:tc>
          <w:tcPr>
            <w:tcW w:type="dxa" w:w="1296"/>
          </w:tcPr>
          <w:p>
            <w:pPr>
              <w:spacing w:after="40"/>
            </w:pPr>
            <w:r/>
            <w:r>
              <w:rPr>
                <w:sz w:val="20"/>
              </w:rPr>
              <w:t>Ajuste</w:t>
            </w:r>
          </w:p>
        </w:tc>
        <w:tc>
          <w:tcPr>
            <w:tcW w:type="dxa" w:w="7056"/>
          </w:tcPr>
          <w:p>
            <w:pPr>
              <w:spacing w:after="40"/>
            </w:pPr>
            <w:r/>
            <w:r>
              <w:rPr>
                <w:sz w:val="20"/>
              </w:rPr>
              <w:t>Migraciones y Seeds pasa a ser check requerido de main</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