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400" w:hRule="exact"/>
        </w:trPr>
        <w:tc>
          <w:tcPr>
            <w:tcW w:type="pct" w:w="100%"/>
            <w:tcBorders>
              <w:top w:val="none" w:color="FFFFFF" w:sz="0"/>
              <w:left w:val="none" w:color="FFFFFF" w:sz="0"/>
              <w:bottom w:val="none" w:color="FFFFFF" w:sz="0"/>
              <w:right w:val="none" w:color="FFFFFF" w:sz="0"/>
            </w:tcBorders>
            <w:shd w:fill="162235" w:val="clear"/>
            <w:vAlign w:val="top"/>
          </w:tcPr>
          <w:p>
            <w:pPr>
              <w:spacing w:before="1200"/>
              <w:ind w:left="800"/>
              <w:jc w:val="left"/>
            </w:pPr>
            <w:r>
              <w:rPr>
                <w:rFonts w:ascii="Calibri" w:eastAsia="SimHei"/>
                <w:b/>
                <w:bCs/>
                <w:color w:val="37DCF2"/>
                <w:spacing w:val="80"/>
                <w:sz w:val="22"/>
                <w:szCs w:val="22"/>
              </w:rPr>
              <w:t xml:space="preserve">ZENIC-FLIJO</w:t>
            </w:r>
          </w:p>
          <w:p>
            <w:pPr>
              <w:spacing w:after="60" w:line="828" w:lineRule="atLeast"/>
              <w:ind w:left="800"/>
              <w:jc w:val="left"/>
            </w:pPr>
            <w:r>
              <w:rPr>
                <w:rFonts w:ascii="Calibri" w:eastAsia="SimHei"/>
                <w:b/>
                <w:bCs/>
                <w:color w:val="FFFFFF"/>
                <w:sz w:val="72"/>
                <w:szCs w:val="72"/>
              </w:rPr>
              <w:t xml:space="preserve">Plan Maestro de Implementacion Enterprise</w:t>
            </w:r>
          </w:p>
          <w:p>
            <w:pPr>
              <w:spacing w:before="200" w:line="400" w:lineRule="atLeast"/>
              <w:ind w:left="800"/>
              <w:jc w:val="left"/>
            </w:pPr>
            <w:r>
              <w:rPr>
                <w:rFonts w:ascii="Calibri" w:eastAsia="Microsoft YaHei"/>
                <w:color w:val="B0B8C0"/>
                <w:sz w:val="22"/>
                <w:szCs w:val="22"/>
              </w:rPr>
              <w:t xml:space="preserve">Zenic-Flijo — Plataforma de Automatizacion y Orquestacion</w:t>
            </w:r>
          </w:p>
        </w:tc>
      </w:tr>
    </w:tbl>
    <w:p>
      <w:pPr>
        <w:pBdr>
          <w:top w:val="single" w:color="37DCF2" w:sz="18" w:space="0"/>
        </w:pBdr>
        <w:spacing w:after="0" w:before="0"/>
        <w:ind w:left="800" w:right="800"/>
      </w:pPr>
    </w:p>
    <w:p>
      <w:pPr>
        <w:spacing w:after="0" w:before="120" w:line="312"/>
        <w:ind w:left="800"/>
        <w:jc w:val="left"/>
      </w:pPr>
      <w:r>
        <w:rPr>
          <w:rFonts w:ascii="Calibri" w:eastAsia="Microsoft YaHei"/>
          <w:color w:val="90989F"/>
          <w:sz w:val="20"/>
          <w:szCs w:val="20"/>
        </w:rPr>
        <w:t xml:space="preserve">Version 1.0 — Junio 2026</w:t>
      </w:r>
    </w:p>
    <w:p>
      <w:pPr>
        <w:spacing w:after="0" w:before="120" w:line="312"/>
        <w:ind w:left="800"/>
        <w:jc w:val="left"/>
      </w:pPr>
      <w:r>
        <w:rPr>
          <w:rFonts w:ascii="Calibri" w:eastAsia="Microsoft YaHei"/>
          <w:color w:val="90989F"/>
          <w:sz w:val="20"/>
          <w:szCs w:val="20"/>
        </w:rPr>
        <w:t xml:space="preserve">Horizonte: 18 meses (5 fases)</w:t>
      </w:r>
    </w:p>
    <w:p>
      <w:pPr>
        <w:spacing w:after="0" w:before="120" w:line="312"/>
        <w:ind w:left="800"/>
        <w:jc w:val="left"/>
      </w:pPr>
      <w:r>
        <w:rPr>
          <w:rFonts w:ascii="Calibri" w:eastAsia="Microsoft YaHei"/>
          <w:color w:val="90989F"/>
          <w:sz w:val="20"/>
          <w:szCs w:val="20"/>
        </w:rPr>
        <w:t xml:space="preserve">Categorias: 8 | Implementaciones: 47+</w:t>
      </w:r>
    </w:p>
    <w:p>
      <w:pPr>
        <w:sectPr>
          <w:pgSz w:w="11906" w:h="16838" w:orient="portrait"/>
          <w:pgMar w:top="0" w:right="0" w:bottom="0" w:left="0" w:header="708" w:footer="708" w:gutter="0"/>
          <w:pgNumType/>
          <w:docGrid w:linePitch="360"/>
        </w:sectPr>
      </w:pPr>
    </w:p>
    <w:p>
      <w:pPr>
        <w:spacing w:after="200"/>
      </w:pPr>
      <w:r>
        <w:rPr>
          <w:rFonts w:ascii="Calibri" w:eastAsia="SimHei"/>
          <w:b/>
          <w:bCs/>
          <w:color w:val="162235"/>
          <w:sz w:val="32"/>
          <w:szCs w:val="32"/>
        </w:rPr>
        <w:t xml:space="preserve">Tabla de Contenidos</w:t>
      </w:r>
    </w:p>
    <w:sdt>
      <w:sdtPr>
        <w:alias w:val="Tabla de Contenido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Resumen Ejecutivo</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Estado Actual y Analisis de Brechas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Inventario de Capacidades Actuales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Brechas Criticas Identificadas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Comparativa con Plataformas Enterprise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Modulos Incompletos Actuales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Objetivos y Resultados Esperados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Vision Estrategica</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3.2 Objetivos Cuantificables por Fase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3.3 KPIs de Exito</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4. Diseno de la Solucion: Arquitectura de Implementacion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4.1 Fase 0 — Fundacion y Deuda Tecnica (Meses 1-3)</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4.1.1 Completar Modulos Incompletos</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4.1.2 RBAC Granular y MFA</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4.1.3 Containerizacion y CI/CD</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4.1.4 Entregables Fase 0</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4.2 Fase 1 — Core Enterprise (Meses 4-7)</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4.2.1 SSO y Autenticacion Federada</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4.2.2 Multi-Tenancy</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4.2.3 Ejecucion Duradera de Workflows</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4.2.4 Observabilidad — Primer Nivel</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4.2.5 Entregables Fase 1</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4.3 Fase 2 — Plataforma Developer (Meses 8-11)</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4.3.1 SDK y CLI de Conectores</w:t>
            </w:r>
            <w:r>
              <w:tab/>
            </w:r>
            <w:r>
              <w:fldChar w:fldCharType="begin"/>
            </w:r>
            <w:r>
              <w:instrText xml:space="preserve"> PAGEREF _Toc100023 \h </w:instrText>
            </w:r>
            <w:r>
              <w:fldChar w:fldCharType="separate"/>
            </w:r>
            <w:r>
              <w:t>9</w:t>
            </w:r>
            <w:r>
              <w:fldChar w:fldCharType="end"/>
            </w:r>
          </w:hyperlink>
        </w:p>
        <w:p>
          <w:pPr>
            <w:pStyle w:val="12"/>
            <w:ind w:left="720"/>
            <w:tabs>
              <w:tab w:val="right" w:leader="dot" w:pos="9026"/>
            </w:tabs>
            <w:spacing w:before="120" w:after="60"/>
          </w:pPr>
          <w:hyperlink w:anchor="_Toc100024" w:history="1">
            <w:r>
              <w:rPr>
                <w:rStyle w:val="Hyperlink"/>
              </w:rPr>
              <w:t>4.3.2 API Publica v2 (FastAPI)</w:t>
            </w:r>
            <w:r>
              <w:tab/>
            </w:r>
            <w:r>
              <w:fldChar w:fldCharType="begin"/>
            </w:r>
            <w:r>
              <w:instrText xml:space="preserve"> PAGEREF _Toc100024 \h </w:instrText>
            </w:r>
            <w:r>
              <w:fldChar w:fldCharType="separate"/>
            </w:r>
            <w:r>
              <w:t>10</w:t>
            </w:r>
            <w:r>
              <w:fldChar w:fldCharType="end"/>
            </w:r>
          </w:hyperlink>
        </w:p>
        <w:p>
          <w:pPr>
            <w:pStyle w:val="12"/>
            <w:ind w:left="720"/>
            <w:tabs>
              <w:tab w:val="right" w:leader="dot" w:pos="9026"/>
            </w:tabs>
            <w:spacing w:before="120" w:after="60"/>
          </w:pPr>
          <w:hyperlink w:anchor="_Toc100025" w:history="1">
            <w:r>
              <w:rPr>
                <w:rStyle w:val="Hyperlink"/>
              </w:rPr>
              <w:t>4.3.3 Marketplace de Conectores</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4.3.4 Expansion de Conectores (25 -&gt; 60)</w:t>
            </w:r>
            <w:r>
              <w:tab/>
            </w:r>
            <w:r>
              <w:fldChar w:fldCharType="begin"/>
            </w:r>
            <w:r>
              <w:instrText xml:space="preserve"> PAGEREF _Toc100026 \h </w:instrText>
            </w:r>
            <w:r>
              <w:fldChar w:fldCharType="separate"/>
            </w:r>
            <w:r>
              <w:t>10</w:t>
            </w:r>
            <w:r>
              <w:fldChar w:fldCharType="end"/>
            </w:r>
          </w:hyperlink>
        </w:p>
        <w:p>
          <w:pPr>
            <w:pStyle w:val="12"/>
            <w:ind w:left="720"/>
            <w:tabs>
              <w:tab w:val="right" w:leader="dot" w:pos="9026"/>
            </w:tabs>
            <w:spacing w:before="120" w:after="60"/>
          </w:pPr>
          <w:hyperlink w:anchor="_Toc100027" w:history="1">
            <w:r>
              <w:rPr>
                <w:rStyle w:val="Hyperlink"/>
              </w:rPr>
              <w:t>4.3.5 Entregables Fase 2</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4.4 Fase 3 — IA y Marketplace (Meses 12-15)</w:t>
            </w:r>
            <w:r>
              <w:tab/>
            </w:r>
            <w:r>
              <w:fldChar w:fldCharType="begin"/>
            </w:r>
            <w:r>
              <w:instrText xml:space="preserve"> PAGEREF _Toc100028 \h </w:instrText>
            </w:r>
            <w:r>
              <w:fldChar w:fldCharType="separate"/>
            </w:r>
            <w:r>
              <w:t>11</w:t>
            </w:r>
            <w:r>
              <w:fldChar w:fldCharType="end"/>
            </w:r>
          </w:hyperlink>
        </w:p>
        <w:p>
          <w:pPr>
            <w:pStyle w:val="12"/>
            <w:ind w:left="720"/>
            <w:tabs>
              <w:tab w:val="right" w:leader="dot" w:pos="9026"/>
            </w:tabs>
            <w:spacing w:before="120" w:after="60"/>
          </w:pPr>
          <w:hyperlink w:anchor="_Toc100029" w:history="1">
            <w:r>
              <w:rPr>
                <w:rStyle w:val="Hyperlink"/>
              </w:rPr>
              <w:t>4.4.1 Framework de Agentes de IA</w:t>
            </w:r>
            <w:r>
              <w:tab/>
            </w:r>
            <w:r>
              <w:fldChar w:fldCharType="begin"/>
            </w:r>
            <w:r>
              <w:instrText xml:space="preserve"> PAGEREF _Toc100029 \h </w:instrText>
            </w:r>
            <w:r>
              <w:fldChar w:fldCharType="separate"/>
            </w:r>
            <w:r>
              <w:t>11</w:t>
            </w:r>
            <w:r>
              <w:fldChar w:fldCharType="end"/>
            </w:r>
          </w:hyperlink>
        </w:p>
        <w:p>
          <w:pPr>
            <w:pStyle w:val="12"/>
            <w:ind w:left="720"/>
            <w:tabs>
              <w:tab w:val="right" w:leader="dot" w:pos="9026"/>
            </w:tabs>
            <w:spacing w:before="120" w:after="60"/>
          </w:pPr>
          <w:hyperlink w:anchor="_Toc100030" w:history="1">
            <w:r>
              <w:rPr>
                <w:rStyle w:val="Hyperlink"/>
              </w:rPr>
              <w:t>4.4.2 Orquestacion Multi-Agente</w:t>
            </w:r>
            <w:r>
              <w:tab/>
            </w:r>
            <w:r>
              <w:fldChar w:fldCharType="begin"/>
            </w:r>
            <w:r>
              <w:instrText xml:space="preserve"> PAGEREF _Toc100030 \h </w:instrText>
            </w:r>
            <w:r>
              <w:fldChar w:fldCharType="separate"/>
            </w:r>
            <w:r>
              <w:t>11</w:t>
            </w:r>
            <w:r>
              <w:fldChar w:fldCharType="end"/>
            </w:r>
          </w:hyperlink>
        </w:p>
        <w:p>
          <w:pPr>
            <w:pStyle w:val="12"/>
            <w:ind w:left="720"/>
            <w:tabs>
              <w:tab w:val="right" w:leader="dot" w:pos="9026"/>
            </w:tabs>
            <w:spacing w:before="120" w:after="60"/>
          </w:pPr>
          <w:hyperlink w:anchor="_Toc100031" w:history="1">
            <w:r>
              <w:rPr>
                <w:rStyle w:val="Hyperlink"/>
              </w:rPr>
              <w:t>4.4.3 Token y Cost Tracking</w:t>
            </w:r>
            <w:r>
              <w:tab/>
            </w:r>
            <w:r>
              <w:fldChar w:fldCharType="begin"/>
            </w:r>
            <w:r>
              <w:instrText xml:space="preserve"> PAGEREF _Toc100031 \h </w:instrText>
            </w:r>
            <w:r>
              <w:fldChar w:fldCharType="separate"/>
            </w:r>
            <w:r>
              <w:t>12</w:t>
            </w:r>
            <w:r>
              <w:fldChar w:fldCharType="end"/>
            </w:r>
          </w:hyperlink>
        </w:p>
        <w:p>
          <w:pPr>
            <w:pStyle w:val="12"/>
            <w:ind w:left="720"/>
            <w:tabs>
              <w:tab w:val="right" w:leader="dot" w:pos="9026"/>
            </w:tabs>
            <w:spacing w:before="120" w:after="60"/>
          </w:pPr>
          <w:hyperlink w:anchor="_Toc100032" w:history="1">
            <w:r>
              <w:rPr>
                <w:rStyle w:val="Hyperlink"/>
              </w:rPr>
              <w:t>4.4.4 Marketplace de Templates y Workflows</w:t>
            </w:r>
            <w:r>
              <w:tab/>
            </w:r>
            <w:r>
              <w:fldChar w:fldCharType="begin"/>
            </w:r>
            <w:r>
              <w:instrText xml:space="preserve"> PAGEREF _Toc100032 \h </w:instrText>
            </w:r>
            <w:r>
              <w:fldChar w:fldCharType="separate"/>
            </w:r>
            <w:r>
              <w:t>12</w:t>
            </w:r>
            <w:r>
              <w:fldChar w:fldCharType="end"/>
            </w:r>
          </w:hyperlink>
        </w:p>
        <w:p>
          <w:pPr>
            <w:pStyle w:val="12"/>
            <w:ind w:left="720"/>
            <w:tabs>
              <w:tab w:val="right" w:leader="dot" w:pos="9026"/>
            </w:tabs>
            <w:spacing w:before="120" w:after="60"/>
          </w:pPr>
          <w:hyperlink w:anchor="_Toc100033" w:history="1">
            <w:r>
              <w:rPr>
                <w:rStyle w:val="Hyperlink"/>
              </w:rPr>
              <w:t>4.4.5 Entregables Fase 3</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4.5 Fase 4 — Escala Global y Compliance (Meses 16-18)</w:t>
            </w:r>
            <w:r>
              <w:tab/>
            </w:r>
            <w:r>
              <w:fldChar w:fldCharType="begin"/>
            </w:r>
            <w:r>
              <w:instrText xml:space="preserve"> PAGEREF _Toc100034 \h </w:instrText>
            </w:r>
            <w:r>
              <w:fldChar w:fldCharType="separate"/>
            </w:r>
            <w:r>
              <w:t>12</w:t>
            </w:r>
            <w:r>
              <w:fldChar w:fldCharType="end"/>
            </w:r>
          </w:hyperlink>
        </w:p>
        <w:p>
          <w:pPr>
            <w:pStyle w:val="12"/>
            <w:ind w:left="720"/>
            <w:tabs>
              <w:tab w:val="right" w:leader="dot" w:pos="9026"/>
            </w:tabs>
            <w:spacing w:before="120" w:after="60"/>
          </w:pPr>
          <w:hyperlink w:anchor="_Toc100035" w:history="1">
            <w:r>
              <w:rPr>
                <w:rStyle w:val="Hyperlink"/>
              </w:rPr>
              <w:t>4.5.1 Compliance y Certificaciones</w:t>
            </w:r>
            <w:r>
              <w:tab/>
            </w:r>
            <w:r>
              <w:fldChar w:fldCharType="begin"/>
            </w:r>
            <w:r>
              <w:instrText xml:space="preserve"> PAGEREF _Toc100035 \h </w:instrText>
            </w:r>
            <w:r>
              <w:fldChar w:fldCharType="separate"/>
            </w:r>
            <w:r>
              <w:t>13</w:t>
            </w:r>
            <w:r>
              <w:fldChar w:fldCharType="end"/>
            </w:r>
          </w:hyperlink>
        </w:p>
        <w:p>
          <w:pPr>
            <w:pStyle w:val="12"/>
            <w:ind w:left="720"/>
            <w:tabs>
              <w:tab w:val="right" w:leader="dot" w:pos="9026"/>
            </w:tabs>
            <w:spacing w:before="120" w:after="60"/>
          </w:pPr>
          <w:hyperlink w:anchor="_Toc100036" w:history="1">
            <w:r>
              <w:rPr>
                <w:rStyle w:val="Hyperlink"/>
              </w:rPr>
              <w:t>4.5.2 Despliegue Global y Alta Disponibilidad</w:t>
            </w:r>
            <w:r>
              <w:tab/>
            </w:r>
            <w:r>
              <w:fldChar w:fldCharType="begin"/>
            </w:r>
            <w:r>
              <w:instrText xml:space="preserve"> PAGEREF _Toc100036 \h </w:instrText>
            </w:r>
            <w:r>
              <w:fldChar w:fldCharType="separate"/>
            </w:r>
            <w:r>
              <w:t>13</w:t>
            </w:r>
            <w:r>
              <w:fldChar w:fldCharType="end"/>
            </w:r>
          </w:hyperlink>
        </w:p>
        <w:p>
          <w:pPr>
            <w:pStyle w:val="12"/>
            <w:ind w:left="720"/>
            <w:tabs>
              <w:tab w:val="right" w:leader="dot" w:pos="9026"/>
            </w:tabs>
            <w:spacing w:before="120" w:after="60"/>
          </w:pPr>
          <w:hyperlink w:anchor="_Toc100037" w:history="1">
            <w:r>
              <w:rPr>
                <w:rStyle w:val="Hyperlink"/>
              </w:rPr>
              <w:t>4.5.3 Partnerships y Ecosistema</w:t>
            </w:r>
            <w:r>
              <w:tab/>
            </w:r>
            <w:r>
              <w:fldChar w:fldCharType="begin"/>
            </w:r>
            <w:r>
              <w:instrText xml:space="preserve"> PAGEREF _Toc100037 \h </w:instrText>
            </w:r>
            <w:r>
              <w:fldChar w:fldCharType="separate"/>
            </w:r>
            <w:r>
              <w:t>13</w:t>
            </w:r>
            <w:r>
              <w:fldChar w:fldCharType="end"/>
            </w:r>
          </w:hyperlink>
        </w:p>
        <w:p>
          <w:pPr>
            <w:pStyle w:val="12"/>
            <w:ind w:left="720"/>
            <w:tabs>
              <w:tab w:val="right" w:leader="dot" w:pos="9026"/>
            </w:tabs>
            <w:spacing w:before="120" w:after="60"/>
          </w:pPr>
          <w:hyperlink w:anchor="_Toc100038" w:history="1">
            <w:r>
              <w:rPr>
                <w:rStyle w:val="Hyperlink"/>
              </w:rPr>
              <w:t>4.5.4 Localizacion LATAM Completa</w:t>
            </w:r>
            <w:r>
              <w:tab/>
            </w:r>
            <w:r>
              <w:fldChar w:fldCharType="begin"/>
            </w:r>
            <w:r>
              <w:instrText xml:space="preserve"> PAGEREF _Toc100038 \h </w:instrText>
            </w:r>
            <w:r>
              <w:fldChar w:fldCharType="separate"/>
            </w:r>
            <w:r>
              <w:t>13</w:t>
            </w:r>
            <w:r>
              <w:fldChar w:fldCharType="end"/>
            </w:r>
          </w:hyperlink>
        </w:p>
        <w:p>
          <w:pPr>
            <w:pStyle w:val="12"/>
            <w:ind w:left="720"/>
            <w:tabs>
              <w:tab w:val="right" w:leader="dot" w:pos="9026"/>
            </w:tabs>
            <w:spacing w:before="120" w:after="60"/>
          </w:pPr>
          <w:hyperlink w:anchor="_Toc100039" w:history="1">
            <w:r>
              <w:rPr>
                <w:rStyle w:val="Hyperlink"/>
              </w:rPr>
              <w:t>4.5.5 Entregables Fase 4</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5. Hoja de Ruta y Milestones</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5.1 Cronograma Visual</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5.2 Dependencias Criticas entre Fases</w:t>
            </w:r>
            <w:r>
              <w:tab/>
            </w:r>
            <w:r>
              <w:fldChar w:fldCharType="begin"/>
            </w:r>
            <w:r>
              <w:instrText xml:space="preserve"> PAGEREF _Toc100042 \h </w:instrText>
            </w:r>
            <w:r>
              <w:fldChar w:fldCharType="separate"/>
            </w:r>
            <w:r>
              <w:t>14</w:t>
            </w:r>
            <w:r>
              <w:fldChar w:fldCharType="end"/>
            </w:r>
          </w:hyperlink>
        </w:p>
        <w:p>
          <w:pPr>
            <w:pStyle w:val="9"/>
            <w:tabs>
              <w:tab w:val="right" w:leader="dot" w:pos="9026"/>
            </w:tabs>
            <w:spacing w:before="120" w:after="60"/>
          </w:pPr>
          <w:hyperlink w:anchor="_Toc100043" w:history="1">
            <w:r>
              <w:rPr>
                <w:rStyle w:val="Hyperlink"/>
              </w:rPr>
              <w:t>6. Requisitos de Recursos y Presupuesto</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6.1 Equipo Recomendado</w:t>
            </w:r>
            <w:r>
              <w:tab/>
            </w:r>
            <w:r>
              <w:fldChar w:fldCharType="begin"/>
            </w:r>
            <w:r>
              <w:instrText xml:space="preserve"> PAGEREF _Toc100044 \h </w:instrText>
            </w:r>
            <w:r>
              <w:fldChar w:fldCharType="separate"/>
            </w:r>
            <w:r>
              <w:t>15</w:t>
            </w:r>
            <w:r>
              <w:fldChar w:fldCharType="end"/>
            </w:r>
          </w:hyperlink>
        </w:p>
        <w:p>
          <w:pPr>
            <w:pStyle w:val="11"/>
            <w:ind w:left="360"/>
            <w:tabs>
              <w:tab w:val="right" w:leader="dot" w:pos="9026"/>
            </w:tabs>
            <w:spacing w:before="120" w:after="60"/>
          </w:pPr>
          <w:hyperlink w:anchor="_Toc100045" w:history="1">
            <w:r>
              <w:rPr>
                <w:rStyle w:val="Hyperlink"/>
              </w:rPr>
              <w:t>6.2 Estimacion de Esfuerzo por Fase</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6.3 Stack Tecnologico Adicional Requerido</w:t>
            </w:r>
            <w:r>
              <w:tab/>
            </w:r>
            <w:r>
              <w:fldChar w:fldCharType="begin"/>
            </w:r>
            <w:r>
              <w:instrText xml:space="preserve"> PAGEREF _Toc100046 \h </w:instrText>
            </w:r>
            <w:r>
              <w:fldChar w:fldCharType="separate"/>
            </w:r>
            <w:r>
              <w:t>15</w:t>
            </w:r>
            <w:r>
              <w:fldChar w:fldCharType="end"/>
            </w:r>
          </w:hyperlink>
        </w:p>
        <w:p>
          <w:pPr>
            <w:pStyle w:val="9"/>
            <w:tabs>
              <w:tab w:val="right" w:leader="dot" w:pos="9026"/>
            </w:tabs>
            <w:spacing w:before="120" w:after="60"/>
          </w:pPr>
          <w:hyperlink w:anchor="_Toc100047" w:history="1">
            <w:r>
              <w:rPr>
                <w:rStyle w:val="Hyperlink"/>
              </w:rPr>
              <w:t>7. Analisis de Riesgos y Mitigacion</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7.1 Estrategia de Rollback por Fase</w:t>
            </w:r>
            <w:r>
              <w:tab/>
            </w:r>
            <w:r>
              <w:fldChar w:fldCharType="begin"/>
            </w:r>
            <w:r>
              <w:instrText xml:space="preserve"> PAGEREF _Toc100048 \h </w:instrText>
            </w:r>
            <w:r>
              <w:fldChar w:fldCharType="separate"/>
            </w:r>
            <w:r>
              <w:t>16</w:t>
            </w:r>
            <w:r>
              <w:fldChar w:fldCharType="end"/>
            </w:r>
          </w:hyperlink>
        </w:p>
        <w:p>
          <w:pPr>
            <w:pStyle w:val="9"/>
            <w:tabs>
              <w:tab w:val="right" w:leader="dot" w:pos="9026"/>
            </w:tabs>
            <w:spacing w:before="120" w:after="60"/>
          </w:pPr>
          <w:hyperlink w:anchor="_Toc100049" w:history="1">
            <w:r>
              <w:rPr>
                <w:rStyle w:val="Hyperlink"/>
              </w:rPr>
              <w:t>8. Beneficios Esperados y Evaluacion</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8.1 Beneficios Cuantificables</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8.2 Ventajas Competitivas Unicas</w:t>
            </w:r>
            <w:r>
              <w:tab/>
            </w:r>
            <w:r>
              <w:fldChar w:fldCharType="begin"/>
            </w:r>
            <w:r>
              <w:instrText xml:space="preserve"> PAGEREF _Toc100051 \h </w:instrText>
            </w:r>
            <w:r>
              <w:fldChar w:fldCharType="separate"/>
            </w:r>
            <w:r>
              <w:t>17</w:t>
            </w:r>
            <w:r>
              <w:fldChar w:fldCharType="end"/>
            </w:r>
          </w:hyperlink>
        </w:p>
        <w:p>
          <w:pPr>
            <w:pStyle w:val="11"/>
            <w:ind w:left="360"/>
            <w:tabs>
              <w:tab w:val="right" w:leader="dot" w:pos="9026"/>
            </w:tabs>
            <w:spacing w:before="120" w:after="60"/>
          </w:pPr>
          <w:hyperlink w:anchor="_Toc100052" w:history="1">
            <w:r>
              <w:rPr>
                <w:rStyle w:val="Hyperlink"/>
              </w:rPr>
              <w:t>8.3 Criterios de Evaluacion Continua</w:t>
            </w:r>
            <w:r>
              <w:tab/>
            </w:r>
            <w:r>
              <w:fldChar w:fldCharType="begin"/>
            </w:r>
            <w:r>
              <w:instrText xml:space="preserve"> PAGEREF _Toc100052 \h </w:instrText>
            </w:r>
            <w:r>
              <w:fldChar w:fldCharType="separate"/>
            </w:r>
            <w:r>
              <w:t>18</w:t>
            </w:r>
            <w:r>
              <w:fldChar w:fldCharType="end"/>
            </w:r>
          </w:hyperlink>
        </w:p>
        <w:p>
          <w:pPr>
            <w:pStyle w:val="9"/>
            <w:tabs>
              <w:tab w:val="right" w:leader="dot" w:pos="9026"/>
            </w:tabs>
            <w:spacing w:before="120" w:after="60"/>
          </w:pPr>
          <w:hyperlink w:anchor="_Toc100053" w:history="1">
            <w:r>
              <w:rPr>
                <w:rStyle w:val="Hyperlink"/>
              </w:rPr>
              <w:t>Apéndice A: Arquitectura de Referencia Post-Implementacion</w:t>
            </w:r>
            <w:r>
              <w:tab/>
            </w:r>
            <w:r>
              <w:fldChar w:fldCharType="begin"/>
            </w:r>
            <w:r>
              <w:instrText xml:space="preserve"> PAGEREF _Toc100053 \h </w:instrText>
            </w:r>
            <w:r>
              <w:fldChar w:fldCharType="separate"/>
            </w:r>
            <w:r>
              <w:t>18</w:t>
            </w:r>
            <w:r>
              <w:fldChar w:fldCharType="end"/>
            </w:r>
          </w:hyperlink>
        </w:p>
        <w:p>
          <w:pPr>
            <w:pStyle w:val="9"/>
            <w:tabs>
              <w:tab w:val="right" w:leader="dot" w:pos="9026"/>
            </w:tabs>
            <w:spacing w:before="120" w:after="60"/>
          </w:pPr>
          <w:hyperlink w:anchor="_Toc100054" w:history="1">
            <w:r>
              <w:rPr>
                <w:rStyle w:val="Hyperlink"/>
              </w:rPr>
              <w:t>Apéndice B: Glosario de Terminos</w:t>
            </w:r>
            <w:r>
              <w:tab/>
            </w:r>
            <w:r>
              <w:fldChar w:fldCharType="begin"/>
            </w:r>
            <w:r>
              <w:instrText xml:space="preserve"> PAGEREF _Toc100054 \h </w:instrText>
            </w:r>
            <w:r>
              <w:fldChar w:fldCharType="separate"/>
            </w:r>
            <w:r>
              <w:t>18</w:t>
            </w:r>
            <w:r>
              <w:fldChar w:fldCharType="end"/>
            </w:r>
          </w:hyperlink>
        </w:p>
        <w:p>
          <w:pPr>
            <w:pStyle w:val="9"/>
            <w:tabs>
              <w:tab w:val="right" w:leader="dot" w:pos="9026"/>
            </w:tabs>
            <w:spacing w:before="120" w:after="60"/>
          </w:pPr>
          <w:hyperlink w:anchor="_Toc100055" w:history="1">
            <w:r>
              <w:rPr>
                <w:rStyle w:val="Hyperlink"/>
              </w:rPr>
              <w:t>Apéndice C: Matriz de Decisiones Arquitectonicas</w:t>
            </w:r>
            <w:r>
              <w:tab/>
            </w:r>
            <w:r>
              <w:fldChar w:fldCharType="begin"/>
            </w:r>
            <w:r>
              <w:instrText xml:space="preserve"> PAGEREF _Toc100055 \h </w:instrText>
            </w:r>
            <w:r>
              <w:fldChar w:fldCharType="separate"/>
            </w:r>
            <w:r>
              <w:t>19</w:t>
            </w:r>
            <w:r>
              <w:fldChar w:fldCharType="end"/>
            </w:r>
          </w:hyperlink>
        </w:p>
        <w:p>
          <w:r>
            <w:fldChar w:fldCharType="end"/>
          </w:r>
        </w:p>
      </w:sdtContent>
    </w:sdt>
    <w:p>
      <w:pPr>
        <w:spacing w:after="100" w:before="200"/>
      </w:pPr>
      <w:r>
        <w:rPr>
          <w:rFonts w:ascii="Calibri" w:eastAsia="Microsoft YaHei"/>
          <w:i/>
          <w:iCs/>
          <w:color w:val="808080"/>
          <w:sz w:val="18"/>
          <w:szCs w:val="18"/>
        </w:rPr>
        <w:t xml:space="preserve">Nota: haga clic derecho en la tabla de contenidos y seleccione “Actualizar campo” para refrescar los numeros de pagina.</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62235"/>
          <w:sz w:val="32"/>
          <w:szCs w:val="32"/>
        </w:rPr>
        <w:t xml:space="preserve">1. Resumen Ejecutivo</w:t>
      </w:r>
      <w:bookmarkEnd w:id="100000"/>
    </w:p>
    <w:p>
      <w:pPr>
        <w:spacing w:after="80" w:line="312"/>
        <w:ind w:firstLine="480"/>
        <w:jc w:val="both"/>
      </w:pPr>
      <w:r>
        <w:rPr>
          <w:rFonts w:ascii="Calibri" w:eastAsia="Microsoft YaHei"/>
          <w:color w:val="000000"/>
          <w:sz w:val="24"/>
          <w:szCs w:val="24"/>
        </w:rPr>
        <w:t xml:space="preserve">El presente documento constituye el Plan Maestro de Implementacion Enterprise para Zenic-Flijo, una plataforma de automatizacion y orquestacion de workflows con motor orbital determinista, pipeline NLU bilingue (espanol-ingles) y arquitectura de eventos. El plan aborda las brechas criticas identificadas tras un analisis comparativo exhaustivo contra las plataformas enterprise lideres del mercado (n8n, Zapier, Workato, Camunda, Temporal) y define una hoja de ruta de 18 meses distribuida en 5 fases para transformar Zenic-Flijo de una plataforma de nicho a un competidor enterprise de clase mundial.</w:t>
      </w:r>
    </w:p>
    <w:p>
      <w:pPr>
        <w:spacing w:after="80" w:line="312"/>
        <w:ind w:firstLine="480"/>
        <w:jc w:val="both"/>
      </w:pPr>
      <w:r>
        <w:rPr>
          <w:rFonts w:ascii="Calibri" w:eastAsia="Microsoft YaHei"/>
          <w:color w:val="000000"/>
          <w:sz w:val="24"/>
          <w:szCs w:val="24"/>
        </w:rPr>
        <w:t xml:space="preserve">El analisis revela 47 capacidades enterprise faltantes agrupadas en 8 categorias estrategicas. Las tres brechas mas criticas son: (1) Conectores e integraciones — Zenic-Flijo cuenta con 10 conectores frente a los 7000+ de Zapier o los 600+ de Workato; (2) Seguridad y compliance — ausencia de SSO, RBAC granular, multi-tenancy y certificaciones SOC 2/HIPAA/GDPR; y (3) Observabilidad — sin metricas, tracing distribuido ni dashboards de monitoreo. Sin embargo, Zenic-Flijo posee ventajas unicas diferenciadores: su motor Orbital de 5 pilares (OVC-TOR-RCC-COD-Espectro), su pipeline NLU determinista de 13 etapas con soporte bilingue, y su naturaleza completamente open source.</w:t>
      </w:r>
    </w:p>
    <w:p>
      <w:pPr>
        <w:spacing w:after="80" w:line="312"/>
        <w:ind w:firstLine="480"/>
        <w:jc w:val="both"/>
      </w:pPr>
      <w:r>
        <w:rPr>
          <w:rFonts w:ascii="Calibri" w:eastAsia="Microsoft YaHei"/>
          <w:color w:val="000000"/>
          <w:sz w:val="24"/>
          <w:szCs w:val="24"/>
        </w:rPr>
        <w:t xml:space="preserve">El nicho de mercado prioritario identificado es la Orquestacion de Agentes de IA (mercado de $147B+ proyectado a 2030) y la Automatizacion Enterprise para LATAM (mercado de $5.79B en 2025, CAGR del 22%). La estrategia combina la convergencia iPaaS + BPM + IA que define el mercado 2025-2026, posicionando a Zenic-Flijo como la unica plataforma open-source con motor orbital determinista y NLU bilingue nativo, capaz de competir tanto en mercados globales como en el segmento LATAM con ventajas localizadas que los incumbentes no poseen.</w:t>
      </w:r>
    </w:p>
    <w:p>
      <w:pPr>
        <w:pStyle w:val="Heading1"/>
        <w:spacing w:after="160" w:before="360" w:line="312"/>
      </w:pPr>
      <w:bookmarkStart w:id="100001" w:name="_Toc100001"/>
      <w:r>
        <w:rPr>
          <w:rFonts w:ascii="Calibri" w:eastAsia="SimHei"/>
          <w:b/>
          <w:bCs/>
          <w:color w:val="162235"/>
          <w:sz w:val="32"/>
          <w:szCs w:val="32"/>
        </w:rPr>
        <w:t xml:space="preserve">2. Estado Actual y Analisis de Brechas</w:t>
      </w:r>
      <w:bookmarkEnd w:id="100001"/>
    </w:p>
    <w:p>
      <w:pPr>
        <w:pStyle w:val="Heading2"/>
        <w:spacing w:after="120" w:before="280" w:line="312"/>
      </w:pPr>
      <w:bookmarkStart w:id="100002" w:name="_Toc100002"/>
      <w:r>
        <w:rPr>
          <w:rFonts w:ascii="Calibri" w:eastAsia="SimHei"/>
          <w:b/>
          <w:bCs/>
          <w:color w:val="162235"/>
          <w:sz w:val="28"/>
          <w:szCs w:val="28"/>
        </w:rPr>
        <w:t xml:space="preserve">2.1 Inventario de Capacidades Actuales</w:t>
      </w:r>
      <w:bookmarkEnd w:id="100002"/>
    </w:p>
    <w:p>
      <w:pPr>
        <w:spacing w:after="80" w:line="312"/>
        <w:ind w:firstLine="480"/>
        <w:jc w:val="both"/>
      </w:pPr>
      <w:r>
        <w:rPr>
          <w:rFonts w:ascii="Calibri" w:eastAsia="Microsoft YaHei"/>
          <w:color w:val="000000"/>
          <w:sz w:val="24"/>
          <w:szCs w:val="24"/>
        </w:rPr>
        <w:t xml:space="preserve">Zenic-Flijo cuenta con una base arquitectonica solida que comprende 8 modulos core, 9 herramientas de negocio, 10 integraciones externas, 7 fuentes de eventos, un pipeline NLU de 13 etapas, y un motor Orbital de 5 pilares. La plataforma incluye un sistema de licencias comercial (Free/Individual/Reseller/Enterprise), RBAC de 3 niveles (admin/editor/viewer), y un suite de pruebas con mas de 60 archivos de test. A continuacion se presenta el inventario detallado por categoria:</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Modulo</w:t>
            </w:r>
          </w:p>
        </w:tc>
        <w:tc>
          <w:tcPr>
            <w:tcW w:type="pct" w:w="60%"/>
            <w:shd w:fill="1B6B7A" w:val="clear"/>
            <w:tcMar>
              <w:top w:type="dxa" w:w="60"/>
              <w:left w:type="dxa" w:w="120"/>
              <w:bottom w:type="dxa" w:w="60"/>
              <w:right w:type="dxa" w:w="120"/>
            </w:tcMar>
          </w:tcPr>
          <w:p>
            <w:r>
              <w:rPr>
                <w:rFonts w:ascii="Calibri" w:eastAsia="Microsoft YaHei"/>
                <w:b/>
                <w:bCs/>
                <w:color w:val="FFFFFF"/>
                <w:sz w:val="21"/>
                <w:szCs w:val="21"/>
              </w:rPr>
              <w:t xml:space="preserve">Componentes</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Estado</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Workflow Engine</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Engine, StepExecutor, BranchHandler, ForkHandler, LoopHandler, ConditionEvaluator, ErrorHandler, DeadLetterQueue, Variables, Repository</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NLU Pipeline</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Normalizer, Tokenizer, LanguageRouter, EntityExtractor, IntentClassifier, SlotFiller, Disambiguator, Compiler, Validator, Explainer, DryRun, AIGenerator, SynonymLearner, Fragments, BilingualRouter</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Orbital Engine</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OVC, TOR, RCC, COD, Espectro, OrbitalCompiler, OrbitalAdapter, OrbitalContext, Benchmarks, OrbitalRepository</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Events</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EventBus, ScheduleWorker, WebhookServer, EmailWatcher, FileWatcher, DatabaseTrigger, WorkerManager, WorkQueue</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Data</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DatabaseManager (SQLite WAL), BackupEngine</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Integrations</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Gmail, Sheets, Drive, Telegram, Slack, OpenAI, Ollama, PostgreSQL, Stripe, MercadoPago</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Business Tools</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CRM, Invoice, Inventory, Notification, AutoPilot, LogicGate, APIConnector, DataKeeper, CodeRunner</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Web UI</w:t>
            </w:r>
          </w:p>
        </w:tc>
        <w:tc>
          <w:tcPr>
            <w:tcW w:type="pct" w:w="6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Flask + Jinja2 (10 templates), Chart.js, REST API (40+ endpoints)</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Funcional</w:t>
            </w:r>
          </w:p>
        </w:tc>
      </w:tr>
    </w:tbl>
    <w:p>
      <w:pPr>
        <w:spacing w:before="120"/>
      </w:pPr>
    </w:p>
    <w:p>
      <w:pPr>
        <w:pStyle w:val="Heading2"/>
        <w:spacing w:after="120" w:before="280" w:line="312"/>
      </w:pPr>
      <w:bookmarkStart w:id="100003" w:name="_Toc100003"/>
      <w:r>
        <w:rPr>
          <w:rFonts w:ascii="Calibri" w:eastAsia="SimHei"/>
          <w:b/>
          <w:bCs/>
          <w:color w:val="162235"/>
          <w:sz w:val="28"/>
          <w:szCs w:val="28"/>
        </w:rPr>
        <w:t xml:space="preserve">2.2 Brechas Criticas Identificadas</w:t>
      </w:r>
      <w:bookmarkEnd w:id="100003"/>
    </w:p>
    <w:p>
      <w:pPr>
        <w:spacing w:after="80" w:line="312"/>
        <w:ind w:firstLine="480"/>
        <w:jc w:val="both"/>
      </w:pPr>
      <w:r>
        <w:rPr>
          <w:rFonts w:ascii="Calibri" w:eastAsia="Microsoft YaHei"/>
          <w:color w:val="000000"/>
          <w:sz w:val="24"/>
          <w:szCs w:val="24"/>
        </w:rPr>
        <w:t xml:space="preserve">El analisis comparativo contra plataformas enterprise revela 47 capacidades faltantes organizadas en 8 categorias estrategicas. Cada brecha ha sido clasificada segun su impacto en la competitividad enterprise: Critico (impide ventas enterprise), Alto (dificulta competir), y Medio (diferenciador de valor). La siguiente tabla resume las brechas por categoria con su prioridad y las plataformas de referencia que ya las implementan: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Categoria</w:t>
            </w:r>
          </w:p>
        </w:tc>
        <w:tc>
          <w:tcPr>
            <w:tcW w:type="pct" w:w="38%"/>
            <w:shd w:fill="1B6B7A" w:val="clear"/>
            <w:tcMar>
              <w:top w:type="dxa" w:w="60"/>
              <w:left w:type="dxa" w:w="120"/>
              <w:bottom w:type="dxa" w:w="60"/>
              <w:right w:type="dxa" w:w="120"/>
            </w:tcMar>
          </w:tcPr>
          <w:p>
            <w:r>
              <w:rPr>
                <w:rFonts w:ascii="Calibri" w:eastAsia="Microsoft YaHei"/>
                <w:b/>
                <w:bCs/>
                <w:color w:val="FFFFFF"/>
                <w:sz w:val="21"/>
                <w:szCs w:val="21"/>
              </w:rPr>
              <w:t xml:space="preserve">Brechas Criticas</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Prioridad</w:t>
            </w:r>
          </w:p>
        </w:tc>
        <w:tc>
          <w:tcPr>
            <w:tcW w:type="pct" w:w="32%"/>
            <w:shd w:fill="1B6B7A" w:val="clear"/>
            <w:tcMar>
              <w:top w:type="dxa" w:w="60"/>
              <w:left w:type="dxa" w:w="120"/>
              <w:bottom w:type="dxa" w:w="60"/>
              <w:right w:type="dxa" w:w="120"/>
            </w:tcMar>
          </w:tcPr>
          <w:p>
            <w:r>
              <w:rPr>
                <w:rFonts w:ascii="Calibri" w:eastAsia="Microsoft YaHei"/>
                <w:b/>
                <w:bCs/>
                <w:color w:val="FFFFFF"/>
                <w:sz w:val="21"/>
                <w:szCs w:val="21"/>
              </w:rPr>
              <w:t xml:space="preserve">Referencia Enterprise</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 Conectores e Integraciones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Solo 10 conectores vs 7000+ (Zapier); sin marketplace ni SDK de conectores; sin conector SDK para terceros</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Critico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Zapier, Workato, n8n</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 Seguridad y Compliance</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SSO/SAML/OIDC; sin RBAC granular; sin multi-tenancy; sin cifrado BYOK; sin certificaciones SOC2/HIPAA/GDPR</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Critico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Camunda, Temporal, Workato</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 Observabilidad</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metricas Prometheus/OTel; sin tracing distribuido; sin dashboards de monitoreo; sin alertas SLA</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Critico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Temporal, Camunda</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 Motor de Ejecucion</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ejecucion duradera; sin recuperacion ante crashes; workflows limitados a sesion activa; sin BPMN 2.0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Temporal, Camunda</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 Plataforma Developer</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SDK/CLI; sin API versioning; sin OpenAPI spec; sin sandbox de desarrollo; sin CI/CD</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n8n, Workato, MuleSoft</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6. Orquestacion de IA</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agente lifecycle; sin guardrails; sin tracking de tokens/costos; sin fallback determinista-automatico</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LangChain, Camunda 8</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7. Despliegue y DevOps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Docker/K8s; sin Helm charts; sin IaC; sin health checks; sin escala horizontal</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n8n, Temporal</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8. Localizacion LATAM</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LGPD; sin integraciones regionales (PIX, SAT, Totvs); sin i18n; solo espanol</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Medio</w:t>
            </w:r>
          </w:p>
        </w:tc>
        <w:tc>
          <w:tcPr>
            <w:tcW w:type="pct" w:w="3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Ninguno (oportunidad)</w:t>
            </w:r>
          </w:p>
        </w:tc>
      </w:tr>
    </w:tbl>
    <w:p>
      <w:pPr>
        <w:spacing w:before="120"/>
      </w:pPr>
    </w:p>
    <w:p>
      <w:pPr>
        <w:pStyle w:val="Heading2"/>
        <w:spacing w:after="120" w:before="280" w:line="312"/>
      </w:pPr>
      <w:bookmarkStart w:id="100004" w:name="_Toc100004"/>
      <w:r>
        <w:rPr>
          <w:rFonts w:ascii="Calibri" w:eastAsia="SimHei"/>
          <w:b/>
          <w:bCs/>
          <w:color w:val="162235"/>
          <w:sz w:val="28"/>
          <w:szCs w:val="28"/>
        </w:rPr>
        <w:t xml:space="preserve">2.3 Comparativa con Plataformas Enterprise</w:t>
      </w:r>
      <w:bookmarkEnd w:id="100004"/>
    </w:p>
    <w:p>
      <w:pPr>
        <w:spacing w:after="80" w:line="312"/>
        <w:ind w:firstLine="480"/>
        <w:jc w:val="both"/>
      </w:pPr>
      <w:r>
        <w:rPr>
          <w:rFonts w:ascii="Calibri" w:eastAsia="Microsoft YaHei"/>
          <w:color w:val="000000"/>
          <w:sz w:val="24"/>
          <w:szCs w:val="24"/>
        </w:rPr>
        <w:t xml:space="preserve">La siguiente tabla comparativa posiciona a Zenic-Flijo frente a las 5 plataformas enterprise mas relevantes, evaluando cada dimension clave en una escala de 0 (ausente) a 5 (lider del mercado). Esta evaluacion permite visualizar claramente donde se encuentran las mayores brechas y cuales son las capacidades que ya representan fortalezas competitivas: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Dimension</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Zenic-Flijo</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n8n</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Zapier</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Workato</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Temporal</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Camunda</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Conectores</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Seguridad Enterprise</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Observabilidad</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Ejecucion Duradera</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Motor Orbital/NLU</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Developer Platform</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Orquestacion IA</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Despliegue Cloud</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Open Source</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Nicho LATAM</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r>
    </w:tbl>
    <w:p>
      <w:pPr>
        <w:spacing w:before="120"/>
      </w:pPr>
    </w:p>
    <w:p>
      <w:pPr>
        <w:pStyle w:val="Heading2"/>
        <w:spacing w:after="120" w:before="280" w:line="312"/>
      </w:pPr>
      <w:bookmarkStart w:id="100005" w:name="_Toc100005"/>
      <w:r>
        <w:rPr>
          <w:rFonts w:ascii="Calibri" w:eastAsia="SimHei"/>
          <w:b/>
          <w:bCs/>
          <w:color w:val="162235"/>
          <w:sz w:val="28"/>
          <w:szCs w:val="28"/>
        </w:rPr>
        <w:t xml:space="preserve">2.4 Modulos Incompletos Actuales</w:t>
      </w:r>
      <w:bookmarkEnd w:id="100005"/>
    </w:p>
    <w:p>
      <w:pPr>
        <w:spacing w:after="80" w:line="312"/>
        <w:ind w:firstLine="480"/>
        <w:jc w:val="both"/>
      </w:pPr>
      <w:r>
        <w:rPr>
          <w:rFonts w:ascii="Calibri" w:eastAsia="Microsoft YaHei"/>
          <w:color w:val="000000"/>
          <w:sz w:val="24"/>
          <w:szCs w:val="24"/>
        </w:rPr>
        <w:t xml:space="preserve">Ademas de las brechas enterprise, el analisis del codigo fuente revela varios modulos que estan parcialmente implementados o declarados en dependencias pero sin implementacion funcional. Estos deben completarse como parte de la Fase 0 antes de iniciar las implementaciones enterprise: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Modulo</w:t>
            </w:r>
          </w:p>
        </w:tc>
        <w:tc>
          <w:tcPr>
            <w:tcW w:type="pct" w:w="30%"/>
            <w:shd w:fill="1B6B7A" w:val="clear"/>
            <w:tcMar>
              <w:top w:type="dxa" w:w="60"/>
              <w:left w:type="dxa" w:w="120"/>
              <w:bottom w:type="dxa" w:w="60"/>
              <w:right w:type="dxa" w:w="120"/>
            </w:tcMar>
          </w:tcPr>
          <w:p>
            <w:r>
              <w:rPr>
                <w:rFonts w:ascii="Calibri" w:eastAsia="Microsoft YaHei"/>
                <w:b/>
                <w:bCs/>
                <w:color w:val="FFFFFF"/>
                <w:sz w:val="21"/>
                <w:szCs w:val="21"/>
              </w:rPr>
              <w:t xml:space="preserve">Estado</w:t>
            </w:r>
          </w:p>
        </w:tc>
        <w:tc>
          <w:tcPr>
            <w:tcW w:type="pct" w:w="45%"/>
            <w:shd w:fill="1B6B7A" w:val="clear"/>
            <w:tcMar>
              <w:top w:type="dxa" w:w="60"/>
              <w:left w:type="dxa" w:w="120"/>
              <w:bottom w:type="dxa" w:w="60"/>
              <w:right w:type="dxa" w:w="120"/>
            </w:tcMar>
          </w:tcPr>
          <w:p>
            <w:r>
              <w:rPr>
                <w:rFonts w:ascii="Calibri" w:eastAsia="Microsoft YaHei"/>
                <w:b/>
                <w:bCs/>
                <w:color w:val="FFFFFF"/>
                <w:sz w:val="21"/>
                <w:szCs w:val="21"/>
              </w:rPr>
              <w:t xml:space="preserve">Accion Requerida</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MongoDB (motor)</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En requirements.txt pero sin servicio</w:t>
            </w:r>
          </w:p>
        </w:tc>
        <w:tc>
          <w:tcPr>
            <w:tcW w:type="pct" w:w="4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Implementar MongoDBService con patron Repository</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Redis</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En requirements.txt pero sin servicio</w:t>
            </w:r>
          </w:p>
        </w:tc>
        <w:tc>
          <w:tcPr>
            <w:tcW w:type="pct" w:w="4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Implementar CacheService + PubSub con Redis</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FastAPI</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En requirements.txt pero sin modulo app</w:t>
            </w:r>
          </w:p>
        </w:tc>
        <w:tc>
          <w:tcPr>
            <w:tcW w:type="pct" w:w="4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Crear FastAPI app para API publica v2</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WhatsApp</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Test existe, servicio no</w:t>
            </w:r>
          </w:p>
        </w:tc>
        <w:tc>
          <w:tcPr>
            <w:tcW w:type="pct" w:w="4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Implementar WhatsAppService con Twilio/Cloud API</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Versioning</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Endpoints sin version</w:t>
            </w:r>
          </w:p>
        </w:tc>
        <w:tc>
          <w:tcPr>
            <w:tcW w:type="pct" w:w="4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Migrar a /api/v1/ con retrocompatibilidad</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xmltodict</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Usado pero no en requirements</w:t>
            </w:r>
          </w:p>
        </w:tc>
        <w:tc>
          <w:tcPr>
            <w:tcW w:type="pct" w:w="4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Agregar a requirements.txt</w:t>
            </w:r>
          </w:p>
        </w:tc>
      </w:tr>
    </w:tbl>
    <w:p>
      <w:pPr>
        <w:spacing w:before="120"/>
      </w:pPr>
    </w:p>
    <w:p>
      <w:pPr>
        <w:pStyle w:val="Heading1"/>
        <w:spacing w:after="160" w:before="360" w:line="312"/>
      </w:pPr>
      <w:bookmarkStart w:id="100006" w:name="_Toc100006"/>
      <w:r>
        <w:rPr>
          <w:rFonts w:ascii="Calibri" w:eastAsia="SimHei"/>
          <w:b/>
          <w:bCs/>
          <w:color w:val="162235"/>
          <w:sz w:val="32"/>
          <w:szCs w:val="32"/>
        </w:rPr>
        <w:t xml:space="preserve">3. Objetivos y Resultados Esperados</w:t>
      </w:r>
      <w:bookmarkEnd w:id="100006"/>
    </w:p>
    <w:p>
      <w:pPr>
        <w:pStyle w:val="Heading2"/>
        <w:spacing w:after="120" w:before="280" w:line="312"/>
      </w:pPr>
      <w:bookmarkStart w:id="100007" w:name="_Toc100007"/>
      <w:r>
        <w:rPr>
          <w:rFonts w:ascii="Calibri" w:eastAsia="SimHei"/>
          <w:b/>
          <w:bCs/>
          <w:color w:val="162235"/>
          <w:sz w:val="28"/>
          <w:szCs w:val="28"/>
        </w:rPr>
        <w:t xml:space="preserve">3.1 Vision Estrategica</w:t>
      </w:r>
      <w:bookmarkEnd w:id="100007"/>
    </w:p>
    <w:p>
      <w:pPr>
        <w:spacing w:after="80" w:line="312"/>
        <w:ind w:firstLine="480"/>
        <w:jc w:val="both"/>
      </w:pPr>
      <w:r>
        <w:rPr>
          <w:rFonts w:ascii="Calibri" w:eastAsia="Microsoft YaHei"/>
          <w:color w:val="000000"/>
          <w:sz w:val="24"/>
          <w:szCs w:val="24"/>
        </w:rPr>
        <w:t xml:space="preserve">Posicionar a Zenic-Flijo como la plataforma open-source lider en orquestacion de agentes de IA y automatizacion enterprise para el mercado LATAM, combinando la durabilidad de Temporal, la gobernanza de procesos de Camunda, la experiencia de desarrollador de n8n, y las capacidades unicas del motor Orbital y el NLU bilingue. En un horizonte de 18 meses, la plataforma debe ser capaz de competir por contratos enterprise en las categorias de iPaaS, orquestacion de workflows, y orquestacion de agentes de IA, con una propuesta de valor diferenciada que ningun competidor actual puede replicar.</w:t>
      </w:r>
    </w:p>
    <w:p>
      <w:pPr>
        <w:pStyle w:val="Heading2"/>
        <w:spacing w:after="120" w:before="280" w:line="312"/>
      </w:pPr>
      <w:bookmarkStart w:id="100008" w:name="_Toc100008"/>
      <w:r>
        <w:rPr>
          <w:rFonts w:ascii="Calibri" w:eastAsia="SimHei"/>
          <w:b/>
          <w:bCs/>
          <w:color w:val="162235"/>
          <w:sz w:val="28"/>
          <w:szCs w:val="28"/>
        </w:rPr>
        <w:t xml:space="preserve">3.2 Objetivos Cuantificables por Fase</w:t>
      </w:r>
      <w:bookmarkEnd w:id="10000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Fase</w:t>
            </w:r>
          </w:p>
        </w:tc>
        <w:tc>
          <w:tcPr>
            <w:tcW w:type="pct" w:w="15%"/>
            <w:shd w:fill="1B6B7A" w:val="clear"/>
            <w:tcMar>
              <w:top w:type="dxa" w:w="60"/>
              <w:left w:type="dxa" w:w="120"/>
              <w:bottom w:type="dxa" w:w="60"/>
              <w:right w:type="dxa" w:w="120"/>
            </w:tcMar>
          </w:tcPr>
          <w:p>
            <w:r>
              <w:rPr>
                <w:rFonts w:ascii="Calibri" w:eastAsia="Microsoft YaHei"/>
                <w:b/>
                <w:bCs/>
                <w:color w:val="FFFFFF"/>
                <w:sz w:val="21"/>
                <w:szCs w:val="21"/>
              </w:rPr>
              <w:t xml:space="preserve">Periodo</w:t>
            </w:r>
          </w:p>
        </w:tc>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Conectores</w:t>
            </w:r>
          </w:p>
        </w:tc>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Usuarios Enterprise</w:t>
            </w:r>
          </w:p>
        </w:tc>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Compliance</w:t>
            </w:r>
          </w:p>
        </w:tc>
        <w:tc>
          <w:tcPr>
            <w:tcW w:type="pct" w:w="9%"/>
            <w:shd w:fill="1B6B7A" w:val="clear"/>
            <w:tcMar>
              <w:top w:type="dxa" w:w="60"/>
              <w:left w:type="dxa" w:w="120"/>
              <w:bottom w:type="dxa" w:w="60"/>
              <w:right w:type="dxa" w:w="120"/>
            </w:tcMar>
          </w:tcPr>
          <w:p>
            <w:r>
              <w:rPr>
                <w:rFonts w:ascii="Calibri" w:eastAsia="Microsoft YaHei"/>
                <w:b/>
                <w:bCs/>
                <w:color w:val="FFFFFF"/>
                <w:sz w:val="21"/>
                <w:szCs w:val="21"/>
              </w:rPr>
              <w:t xml:space="preserve">Uptime SLA</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0: Fundacion</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Meses 1-3</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10 -&gt; 25</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RBAC granular + MFA</w:t>
            </w:r>
          </w:p>
        </w:tc>
        <w:tc>
          <w:tcPr>
            <w:tcW w:type="pct" w:w="9%"/>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99.5%</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 Core Enterprise</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Meses 4-7</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25 -&gt; 60</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3-5 pilotos</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SSO + Multi-tenant</w:t>
            </w:r>
          </w:p>
        </w:tc>
        <w:tc>
          <w:tcPr>
            <w:tcW w:type="pct" w:w="9%"/>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99.9%</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2: Platform &amp; DevEx</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Meses 8-11</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60 -&gt; 120</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10-15</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Type I</w:t>
            </w:r>
          </w:p>
        </w:tc>
        <w:tc>
          <w:tcPr>
            <w:tcW w:type="pct" w:w="9%"/>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99.9%</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3: AI &amp; Marketplace</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Meses 12-15</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120 -&gt; 250+</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25-40</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HIPAA ready</w:t>
            </w:r>
          </w:p>
        </w:tc>
        <w:tc>
          <w:tcPr>
            <w:tcW w:type="pct" w:w="9%"/>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99.95%</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4: Escala Global</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Meses 16-18</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250+ -&gt; 500+</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50+</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Type II + GDPR</w:t>
            </w:r>
          </w:p>
        </w:tc>
        <w:tc>
          <w:tcPr>
            <w:tcW w:type="pct" w:w="9%"/>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99.99%</w:t>
            </w:r>
          </w:p>
        </w:tc>
      </w:tr>
    </w:tbl>
    <w:p>
      <w:pPr>
        <w:spacing w:before="120"/>
      </w:pPr>
    </w:p>
    <w:p>
      <w:pPr>
        <w:pStyle w:val="Heading2"/>
        <w:spacing w:after="120" w:before="280" w:line="312"/>
      </w:pPr>
      <w:bookmarkStart w:id="100009" w:name="_Toc100009"/>
      <w:r>
        <w:rPr>
          <w:rFonts w:ascii="Calibri" w:eastAsia="SimHei"/>
          <w:b/>
          <w:bCs/>
          <w:color w:val="162235"/>
          <w:sz w:val="28"/>
          <w:szCs w:val="28"/>
        </w:rPr>
        <w:t xml:space="preserve">3.3 KPIs de Exito</w:t>
      </w:r>
      <w:bookmarkEnd w:id="100009"/>
    </w:p>
    <w:p>
      <w:pPr>
        <w:pStyle w:val="ListParagraph"/>
        <w:numPr>
          <w:ilvl w:val="0"/>
          <w:numId w:val="2"/>
        </w:numPr>
        <w:spacing w:after="40" w:line="312"/>
      </w:pPr>
      <w:r>
        <w:rPr>
          <w:rFonts w:ascii="Calibri" w:eastAsia="Microsoft YaHei"/>
          <w:color w:val="000000"/>
          <w:sz w:val="24"/>
          <w:szCs w:val="24"/>
        </w:rPr>
        <w:t xml:space="preserve">Tiempo de ejecucion de workflow duradero: supervivencia ante crash de proceso en &lt;5 segundos de recuperacion</w:t>
      </w:r>
    </w:p>
    <w:p>
      <w:pPr>
        <w:pStyle w:val="ListParagraph"/>
        <w:numPr>
          <w:ilvl w:val="0"/>
          <w:numId w:val="2"/>
        </w:numPr>
        <w:spacing w:after="40" w:line="312"/>
      </w:pPr>
      <w:r>
        <w:rPr>
          <w:rFonts w:ascii="Calibri" w:eastAsia="Microsoft YaHei"/>
          <w:color w:val="000000"/>
          <w:sz w:val="24"/>
          <w:szCs w:val="24"/>
        </w:rPr>
        <w:t xml:space="preserve">Latencia de paso de workflow end-to-end: percentil 99 por debajo de 200ms para workflows de 10 pasos</w:t>
      </w:r>
    </w:p>
    <w:p>
      <w:pPr>
        <w:pStyle w:val="ListParagraph"/>
        <w:numPr>
          <w:ilvl w:val="0"/>
          <w:numId w:val="2"/>
        </w:numPr>
        <w:spacing w:after="40" w:line="312"/>
      </w:pPr>
      <w:r>
        <w:rPr>
          <w:rFonts w:ascii="Calibri" w:eastAsia="Microsoft YaHei"/>
          <w:color w:val="000000"/>
          <w:sz w:val="24"/>
          <w:szCs w:val="24"/>
        </w:rPr>
        <w:t xml:space="preserve">Throughput de conectores: 1000+ operaciones/segundo por conector con rate limiting adaptativo</w:t>
      </w:r>
    </w:p>
    <w:p>
      <w:pPr>
        <w:pStyle w:val="ListParagraph"/>
        <w:numPr>
          <w:ilvl w:val="0"/>
          <w:numId w:val="2"/>
        </w:numPr>
        <w:spacing w:after="40" w:line="312"/>
      </w:pPr>
      <w:r>
        <w:rPr>
          <w:rFonts w:ascii="Calibri" w:eastAsia="Microsoft YaHei"/>
          <w:color w:val="000000"/>
          <w:sz w:val="24"/>
          <w:szCs w:val="24"/>
        </w:rPr>
        <w:t xml:space="preserve">Tiempo de incorporacion de desarrollador: de registro a primer workflow funcional en menos de 15 minutos</w:t>
      </w:r>
    </w:p>
    <w:p>
      <w:pPr>
        <w:pStyle w:val="ListParagraph"/>
        <w:numPr>
          <w:ilvl w:val="0"/>
          <w:numId w:val="2"/>
        </w:numPr>
        <w:spacing w:after="40" w:line="312"/>
      </w:pPr>
      <w:r>
        <w:rPr>
          <w:rFonts w:ascii="Calibri" w:eastAsia="Microsoft YaHei"/>
          <w:color w:val="000000"/>
          <w:sz w:val="24"/>
          <w:szCs w:val="24"/>
        </w:rPr>
        <w:t xml:space="preserve">Cobertura de tests: 85%+ en codigo de produccion, 100% en modulos criticos (engine, security, connectors)</w:t>
      </w:r>
    </w:p>
    <w:p>
      <w:pPr>
        <w:pStyle w:val="ListParagraph"/>
        <w:numPr>
          <w:ilvl w:val="0"/>
          <w:numId w:val="2"/>
        </w:numPr>
        <w:spacing w:after="40" w:line="312"/>
      </w:pPr>
      <w:r>
        <w:rPr>
          <w:rFonts w:ascii="Calibri" w:eastAsia="Microsoft YaHei"/>
          <w:color w:val="000000"/>
          <w:sz w:val="24"/>
          <w:szCs w:val="24"/>
        </w:rPr>
        <w:t xml:space="preserve">Disponibilidad del marketplace: 50+ conectores certificados y 20+ templates publicados al cierre de Fase 3</w:t>
      </w:r>
    </w:p>
    <w:p>
      <w:pPr>
        <w:spacing w:before="120"/>
      </w:pPr>
    </w:p>
    <w:p>
      <w:pPr>
        <w:pStyle w:val="Heading1"/>
        <w:spacing w:after="160" w:before="360" w:line="312"/>
      </w:pPr>
      <w:bookmarkStart w:id="100010" w:name="_Toc100010"/>
      <w:r>
        <w:rPr>
          <w:rFonts w:ascii="Calibri" w:eastAsia="SimHei"/>
          <w:b/>
          <w:bCs/>
          <w:color w:val="162235"/>
          <w:sz w:val="32"/>
          <w:szCs w:val="32"/>
        </w:rPr>
        <w:t xml:space="preserve">4. Diseno de la Solucion: Arquitectura de Implementacion</w:t>
      </w:r>
      <w:bookmarkEnd w:id="100010"/>
    </w:p>
    <w:p>
      <w:pPr>
        <w:pStyle w:val="Heading2"/>
        <w:spacing w:after="120" w:before="280" w:line="312"/>
      </w:pPr>
      <w:bookmarkStart w:id="100011" w:name="_Toc100011"/>
      <w:r>
        <w:rPr>
          <w:rFonts w:ascii="Calibri" w:eastAsia="SimHei"/>
          <w:b/>
          <w:bCs/>
          <w:color w:val="162235"/>
          <w:sz w:val="28"/>
          <w:szCs w:val="28"/>
        </w:rPr>
        <w:t xml:space="preserve">4.1 Fase 0 — Fundacion y Deuda Tecnica (Meses 1-3)</w:t>
      </w:r>
      <w:bookmarkEnd w:id="100011"/>
    </w:p>
    <w:p>
      <w:pPr>
        <w:spacing w:after="80" w:line="312"/>
        <w:ind w:firstLine="480"/>
        <w:jc w:val="both"/>
      </w:pPr>
      <w:r>
        <w:rPr>
          <w:rFonts w:ascii="Calibri" w:eastAsia="Microsoft YaHei"/>
          <w:color w:val="000000"/>
          <w:sz w:val="24"/>
          <w:szCs w:val="24"/>
        </w:rPr>
        <w:t xml:space="preserve">La Fase 0 establece los cimientos sobre los cuales se construira toda la capa enterprise. Sin estos fundamentos, las fases posteriores serian inestables o imposibles de implementar correctamente. Esta fase aborda la deuda tecnica existente (modulos incompletos, API sin versionar), introduce las primitivas de seguridad enterprise (RBAC granular, MFA, cifrado mejorado), y prepara la infraestructura de despliegue containerizado que sera necesaria para la escala horizontal en fases avanzadas.</w:t>
      </w:r>
    </w:p>
    <w:p>
      <w:pPr>
        <w:pStyle w:val="Heading3"/>
        <w:spacing w:after="100" w:before="200" w:line="312"/>
      </w:pPr>
      <w:bookmarkStart w:id="100012" w:name="_Toc100012"/>
      <w:r>
        <w:rPr>
          <w:rFonts w:ascii="Calibri" w:eastAsia="SimHei"/>
          <w:b/>
          <w:bCs/>
          <w:color w:val="162235"/>
          <w:sz w:val="24"/>
          <w:szCs w:val="24"/>
        </w:rPr>
        <w:t xml:space="preserve">4.1.1 Completar Modulos Incompletos</w:t>
      </w:r>
      <w:bookmarkEnd w:id="100012"/>
    </w:p>
    <w:p>
      <w:pPr>
        <w:spacing w:after="80" w:line="312"/>
        <w:ind w:firstLine="480"/>
        <w:jc w:val="both"/>
      </w:pPr>
      <w:r>
        <w:rPr>
          <w:rFonts w:ascii="Calibri" w:eastAsia="Microsoft YaHei"/>
          <w:b/>
          <w:bCs/>
          <w:color w:val="000000"/>
          <w:sz w:val="24"/>
          <w:szCs w:val="24"/>
        </w:rPr>
        <w:t xml:space="preserve">MongoDB Service: </w:t>
      </w:r>
      <w:r>
        <w:rPr>
          <w:rFonts w:ascii="Calibri" w:eastAsia="Microsoft YaHei"/>
          <w:color w:val="000000"/>
          <w:sz w:val="24"/>
          <w:szCs w:val="24"/>
        </w:rPr>
        <w:t xml:space="preserve">Implementar un servicio MongoDB completo utilizando el driver Motor (async) ya declarado en requirements.txt. El servicio debe seguir el patron Repository existente en el proyecto, con soporte para colecciones indexadas, agregaciones, y migraciones de schema. Esto habilita el almacenamiento de documentos JSON nativos para workflows complejos y datos NLU no estructurados que no encajan bien en el modelo relacional de SQLite.</w:t>
      </w:r>
    </w:p>
    <w:p>
      <w:pPr>
        <w:spacing w:after="80" w:line="312"/>
        <w:ind w:firstLine="480"/>
        <w:jc w:val="both"/>
      </w:pPr>
      <w:r>
        <w:rPr>
          <w:rFonts w:ascii="Calibri" w:eastAsia="Microsoft YaHei"/>
          <w:b/>
          <w:bCs/>
          <w:color w:val="000000"/>
          <w:sz w:val="24"/>
          <w:szCs w:val="24"/>
        </w:rPr>
        <w:t xml:space="preserve">Redis Cache + PubSub: </w:t>
      </w:r>
      <w:r>
        <w:rPr>
          <w:rFonts w:ascii="Calibri" w:eastAsia="Microsoft YaHei"/>
          <w:color w:val="000000"/>
          <w:sz w:val="24"/>
          <w:szCs w:val="24"/>
        </w:rPr>
        <w:t xml:space="preserve">Implementar un servicio Redis que proporcione dos capacidades criticas: (1) Cache de respuestas de conectores con TTL configurable y invalidacion por evento, reduciendo la latencia de llamadas API repetidas; y (2) PubSub para notificaciones en tiempo real entre workers, reemplazando el polling actual del WorkQueue con un modelo push-based. Redis tambien servira como backend de sesiones para la futura arquitectura multi-tenant.</w:t>
      </w:r>
    </w:p>
    <w:p>
      <w:pPr>
        <w:spacing w:after="80" w:line="312"/>
        <w:ind w:firstLine="480"/>
        <w:jc w:val="both"/>
      </w:pPr>
      <w:r>
        <w:rPr>
          <w:rFonts w:ascii="Calibri" w:eastAsia="Microsoft YaHei"/>
          <w:b/>
          <w:bCs/>
          <w:color w:val="000000"/>
          <w:sz w:val="24"/>
          <w:szCs w:val="24"/>
        </w:rPr>
        <w:t xml:space="preserve">WhatsApp Service: </w:t>
      </w:r>
      <w:r>
        <w:rPr>
          <w:rFonts w:ascii="Calibri" w:eastAsia="Microsoft YaHei"/>
          <w:color w:val="000000"/>
          <w:sz w:val="24"/>
          <w:szCs w:val="24"/>
        </w:rPr>
        <w:t xml:space="preserve">Implementar el conector de WhatsApp utilizando la Cloud API de Meta (oficial) con fallback a Twilio WhatsApp Business API. El servicio debe incluir manejo de webhooks entrantes, plantillas de mensajes aprobadas, y seguimiento de estado de entrega. Este conector es estrategico para el mercado LATAM donde WhatsApp es el canal de comunicacion dominante.</w:t>
      </w:r>
    </w:p>
    <w:p>
      <w:pPr>
        <w:spacing w:after="80" w:line="312"/>
        <w:ind w:firstLine="480"/>
        <w:jc w:val="both"/>
      </w:pPr>
      <w:r>
        <w:rPr>
          <w:rFonts w:ascii="Calibri" w:eastAsia="Microsoft YaHei"/>
          <w:b/>
          <w:bCs/>
          <w:color w:val="000000"/>
          <w:sz w:val="24"/>
          <w:szCs w:val="24"/>
        </w:rPr>
        <w:t xml:space="preserve">API Versioning: </w:t>
      </w:r>
      <w:r>
        <w:rPr>
          <w:rFonts w:ascii="Calibri" w:eastAsia="Microsoft YaHei"/>
          <w:color w:val="000000"/>
          <w:sz w:val="24"/>
          <w:szCs w:val="24"/>
        </w:rPr>
        <w:t xml:space="preserve">Migrar todos los endpoints existentes de /api/ a /api/v1/ con un middleware de redireccion para retrocompatibilidad. Establecer la convencion de que /api/v2/ sera la nueva API FastAPI para la plataforma developer. Documentar la politica de versionamiento semver para endpoints publicos.</w:t>
      </w:r>
    </w:p>
    <w:p>
      <w:pPr>
        <w:pStyle w:val="Heading3"/>
        <w:spacing w:after="100" w:before="200" w:line="312"/>
      </w:pPr>
      <w:bookmarkStart w:id="100013" w:name="_Toc100013"/>
      <w:r>
        <w:rPr>
          <w:rFonts w:ascii="Calibri" w:eastAsia="SimHei"/>
          <w:b/>
          <w:bCs/>
          <w:color w:val="162235"/>
          <w:sz w:val="24"/>
          <w:szCs w:val="24"/>
        </w:rPr>
        <w:t xml:space="preserve">4.1.2 RBAC Granular y MFA</w:t>
      </w:r>
      <w:bookmarkEnd w:id="100013"/>
    </w:p>
    <w:p>
      <w:pPr>
        <w:spacing w:after="80" w:line="312"/>
        <w:ind w:firstLine="480"/>
        <w:jc w:val="both"/>
      </w:pPr>
      <w:r>
        <w:rPr>
          <w:rFonts w:ascii="Calibri" w:eastAsia="Microsoft YaHei"/>
          <w:color w:val="000000"/>
          <w:sz w:val="24"/>
          <w:szCs w:val="24"/>
        </w:rPr>
        <w:t xml:space="preserve">El sistema RBAC actual de 3 niveles (admin/editor/viewer) debe evolucionar a un modelo de permisos granulares basado en recursos y acciones. Cada recurso (workflow, connector, tool, settings) tendra acciones definidas (create, read, update, delete, execute, share). Los roles seran colecciones configurables de permisos, y se agregara soporte para permisos a nivel de recurso individual (por ejemplo, acceso a un workflow especifico). La implementacion utiliza un modelo ABAC (Attribute-Based Access Control) que evalua atributos del usuario, del recurso, y del contexto ambiental para tomar decisiones de acceso.</w:t>
      </w:r>
    </w:p>
    <w:p>
      <w:pPr>
        <w:spacing w:after="80" w:line="312"/>
        <w:ind w:firstLine="480"/>
        <w:jc w:val="both"/>
      </w:pPr>
      <w:r>
        <w:rPr>
          <w:rFonts w:ascii="Calibri" w:eastAsia="Microsoft YaHei"/>
          <w:color w:val="000000"/>
          <w:sz w:val="24"/>
          <w:szCs w:val="24"/>
        </w:rPr>
        <w:t xml:space="preserve">Para MFA, se implementara TOTP (Time-based One-Time Password) como segundo factor, compatible con Google Authenticator, Authy, y otras apps. El flujo incluye: generacion de secret TOTP al activar MFA, verificacion de codigo en login, codigos de recuperacion de un solo uso, y sesiones confiables (trust this device for 30 days). Se usara la biblioteca pyotp para la generacion y verificacion TOTP.</w:t>
      </w:r>
    </w:p>
    <w:p>
      <w:pPr>
        <w:pStyle w:val="Heading3"/>
        <w:spacing w:after="100" w:before="200" w:line="312"/>
      </w:pPr>
      <w:bookmarkStart w:id="100014" w:name="_Toc100014"/>
      <w:r>
        <w:rPr>
          <w:rFonts w:ascii="Calibri" w:eastAsia="SimHei"/>
          <w:b/>
          <w:bCs/>
          <w:color w:val="162235"/>
          <w:sz w:val="24"/>
          <w:szCs w:val="24"/>
        </w:rPr>
        <w:t xml:space="preserve">4.1.3 Containerizacion y CI/CD</w:t>
      </w:r>
      <w:bookmarkEnd w:id="100014"/>
    </w:p>
    <w:p>
      <w:pPr>
        <w:spacing w:after="80" w:line="312"/>
        <w:ind w:firstLine="480"/>
        <w:jc w:val="both"/>
      </w:pPr>
      <w:r>
        <w:rPr>
          <w:rFonts w:ascii="Calibri" w:eastAsia="Microsoft YaHei"/>
          <w:color w:val="000000"/>
          <w:sz w:val="24"/>
          <w:szCs w:val="24"/>
        </w:rPr>
        <w:t xml:space="preserve">Crear un Dockerfile multi-stage para Zenic-Flijo: stage 1 (builder) instala dependencias con pip, stage 2 (runtime) copia solo lo necesario para una imagen final de ~150MB. El docker-compose.yml debe orquestar: zenic-flijo (app), postgres (database para futuro multi-tenant), redis (cache/sessions), y nginx (reverse proxy con SSL). Paralelamente, configurar GitHub Actions con workflows para: lint (ruff), test (pytest con coverage), build (Docker image), y deploy (staging/produccion con approval gates).</w:t>
      </w:r>
    </w:p>
    <w:p>
      <w:pPr>
        <w:pStyle w:val="Heading3"/>
        <w:spacing w:after="100" w:before="200" w:line="312"/>
      </w:pPr>
      <w:bookmarkStart w:id="100015" w:name="_Toc100015"/>
      <w:r>
        <w:rPr>
          <w:rFonts w:ascii="Calibri" w:eastAsia="SimHei"/>
          <w:b/>
          <w:bCs/>
          <w:color w:val="162235"/>
          <w:sz w:val="24"/>
          <w:szCs w:val="24"/>
        </w:rPr>
        <w:t xml:space="preserve">4.1.4 Entregables Fase 0</w:t>
      </w:r>
      <w:bookmarkEnd w:id="10001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Entregable</w:t>
            </w:r>
          </w:p>
        </w:tc>
        <w:tc>
          <w:tcPr>
            <w:tcW w:type="pct" w:w="40%"/>
            <w:shd w:fill="1B6B7A" w:val="clear"/>
            <w:tcMar>
              <w:top w:type="dxa" w:w="60"/>
              <w:left w:type="dxa" w:w="120"/>
              <w:bottom w:type="dxa" w:w="60"/>
              <w:right w:type="dxa" w:w="120"/>
            </w:tcMar>
          </w:tcPr>
          <w:p>
            <w:r>
              <w:rPr>
                <w:rFonts w:ascii="Calibri" w:eastAsia="Microsoft YaHei"/>
                <w:b/>
                <w:bCs/>
                <w:color w:val="FFFFFF"/>
                <w:sz w:val="21"/>
                <w:szCs w:val="21"/>
              </w:rPr>
              <w:t xml:space="preserve">Descripcion</w:t>
            </w:r>
          </w:p>
        </w:tc>
        <w:tc>
          <w:tcPr>
            <w:tcW w:type="pct" w:w="40%"/>
            <w:shd w:fill="1B6B7A" w:val="clear"/>
            <w:tcMar>
              <w:top w:type="dxa" w:w="60"/>
              <w:left w:type="dxa" w:w="120"/>
              <w:bottom w:type="dxa" w:w="60"/>
              <w:right w:type="dxa" w:w="120"/>
            </w:tcMar>
          </w:tcPr>
          <w:p>
            <w:r>
              <w:rPr>
                <w:rFonts w:ascii="Calibri" w:eastAsia="Microsoft YaHei"/>
                <w:b/>
                <w:bCs/>
                <w:color w:val="FFFFFF"/>
                <w:sz w:val="21"/>
                <w:szCs w:val="21"/>
              </w:rPr>
              <w:t xml:space="preserve">Criterio de Aceptacion</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MongoDB Service</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Servicio async con patron Repository</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CRUD completo + agregaciones + migraciones</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Redis Service</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Cache + PubSub + Sessions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Hit rate &gt;80% en cache, latencia &lt;5ms</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WhatsApp Service</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Cloud API + webhooks + templates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Envio + recepcion + estado de entrega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v1</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Todos los endpoints bajo /api/v1/</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Redireccion retrocompatible funcional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RBAC Granular</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Permisos por recurso y accion</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Tests de autorizacion para cada combinacion</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MFA TOTP</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Segundo factor con pyotp</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Flujo completo con codigos de recuperacion</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Docker + CI/CD</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Dockerfile + compose + GitHub Actions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Build + test + deploy automatizado</w:t>
            </w:r>
          </w:p>
        </w:tc>
      </w:tr>
    </w:tbl>
    <w:p>
      <w:pPr>
        <w:spacing w:before="120"/>
      </w:pPr>
    </w:p>
    <w:p>
      <w:pPr>
        <w:pStyle w:val="Heading2"/>
        <w:spacing w:after="120" w:before="280" w:line="312"/>
      </w:pPr>
      <w:bookmarkStart w:id="100016" w:name="_Toc100016"/>
      <w:r>
        <w:rPr>
          <w:rFonts w:ascii="Calibri" w:eastAsia="SimHei"/>
          <w:b/>
          <w:bCs/>
          <w:color w:val="162235"/>
          <w:sz w:val="28"/>
          <w:szCs w:val="28"/>
        </w:rPr>
        <w:t xml:space="preserve">4.2 Fase 1 — Core Enterprise (Meses 4-7)</w:t>
      </w:r>
      <w:bookmarkEnd w:id="100016"/>
    </w:p>
    <w:p>
      <w:pPr>
        <w:spacing w:after="80" w:line="312"/>
        <w:ind w:firstLine="480"/>
        <w:jc w:val="both"/>
      </w:pPr>
      <w:r>
        <w:rPr>
          <w:rFonts w:ascii="Calibri" w:eastAsia="Microsoft YaHei"/>
          <w:color w:val="000000"/>
          <w:sz w:val="24"/>
          <w:szCs w:val="24"/>
        </w:rPr>
        <w:t xml:space="preserve">La Fase 1 transforma Zenic-Flijo en una plataforma capaz de servir a clientes enterprise. Las tres capacidades que ningun comprador enterprise acepta como ausentes son: autenticacion federada (SSO), multi-tenancy, y ejecucion duradera de workflows. Estas son condiciones necesarias pero no suficientes para la venta enterprise; sin embargo, su ausencia es condicion suficiente para la descalificacion inmediata en cualquier proceso de evaluacion.</w:t>
      </w:r>
    </w:p>
    <w:p>
      <w:pPr>
        <w:pStyle w:val="Heading3"/>
        <w:spacing w:after="100" w:before="200" w:line="312"/>
      </w:pPr>
      <w:bookmarkStart w:id="100017" w:name="_Toc100017"/>
      <w:r>
        <w:rPr>
          <w:rFonts w:ascii="Calibri" w:eastAsia="SimHei"/>
          <w:b/>
          <w:bCs/>
          <w:color w:val="162235"/>
          <w:sz w:val="24"/>
          <w:szCs w:val="24"/>
        </w:rPr>
        <w:t xml:space="preserve">4.2.1 SSO y Autenticacion Federada</w:t>
      </w:r>
      <w:bookmarkEnd w:id="100017"/>
    </w:p>
    <w:p>
      <w:pPr>
        <w:spacing w:after="80" w:line="312"/>
        <w:ind w:firstLine="480"/>
        <w:jc w:val="both"/>
      </w:pPr>
      <w:r>
        <w:rPr>
          <w:rFonts w:ascii="Calibri" w:eastAsia="Microsoft YaHei"/>
          <w:color w:val="000000"/>
          <w:sz w:val="24"/>
          <w:szCs w:val="24"/>
        </w:rPr>
        <w:t xml:space="preserve">Implementar autenticacion federada utilizando protocolos estandar de la industria: SAML 2.0 para integracion con proveedores de identidad corporativos (Okta, Azure AD, OneLogin), y OpenID Connect (OIDC) para integracion con proveedores modernos (Google Workspace, Auth0, Keycloak). La arquitectura utiliza un middleware de autenticacion que actua como Service Provider (SP) en el flujo SAML y como Relying Party (RP) en el flujo OIDC. Ambos flujos convergen en la generacion de sesiones internas con JWT firmados, manteniendo compatibilidad con el sistema de sesiones existente basado en cookies.</w:t>
      </w:r>
    </w:p>
    <w:p>
      <w:pPr>
        <w:spacing w:after="80" w:line="312"/>
        <w:ind w:firstLine="480"/>
        <w:jc w:val="both"/>
      </w:pPr>
      <w:r>
        <w:rPr>
          <w:rFonts w:ascii="Calibri" w:eastAsia="Microsoft YaHei"/>
          <w:color w:val="000000"/>
          <w:sz w:val="24"/>
          <w:szCs w:val="24"/>
        </w:rPr>
        <w:t xml:space="preserve">Se implementara un proveedor de identidad interno basado en Keycloak embebido para organizaciones que no tienen un IdP corporativo. Keycloak proporciona un panel de administracion de usuarios, federacion con LDAP/Active Directory, y soporte para protocolos SAML, OIDC, y OAuth 2.0 de forma nativa. La integracion con el sistema de licencias existente permite que cada tier de licencia tenga configuraciones SSO diferentes: Free (solo local), Individual (Google/Microsoft social login), Enterprise (SAML/OIDC completo con IdP propio).</w:t>
      </w:r>
    </w:p>
    <w:p>
      <w:pPr>
        <w:pStyle w:val="Heading3"/>
        <w:spacing w:after="100" w:before="200" w:line="312"/>
      </w:pPr>
      <w:bookmarkStart w:id="100018" w:name="_Toc100018"/>
      <w:r>
        <w:rPr>
          <w:rFonts w:ascii="Calibri" w:eastAsia="SimHei"/>
          <w:b/>
          <w:bCs/>
          <w:color w:val="162235"/>
          <w:sz w:val="24"/>
          <w:szCs w:val="24"/>
        </w:rPr>
        <w:t xml:space="preserve">4.2.2 Multi-Tenancy</w:t>
      </w:r>
      <w:bookmarkEnd w:id="100018"/>
    </w:p>
    <w:p>
      <w:pPr>
        <w:spacing w:after="80" w:line="312"/>
        <w:ind w:firstLine="480"/>
        <w:jc w:val="both"/>
      </w:pPr>
      <w:r>
        <w:rPr>
          <w:rFonts w:ascii="Calibri" w:eastAsia="Microsoft YaHei"/>
          <w:color w:val="000000"/>
          <w:sz w:val="24"/>
          <w:szCs w:val="24"/>
        </w:rPr>
        <w:t xml:space="preserve">Implementar el modelo de multi-tenancy hibrido recomendado por AWS y Azure para plataformas SaaS: tenants enterprise reciben base de datos dedicada (database-per-tenant) para maximo aislamiento y cumplimiento de residencia de datos; tenants mas pequenos comparten base de datos con esquemas separados (schema-per-tenant) para optimizar costos. El enrutamiento por tenant se implementa en tres capas: (1) DNS/subdominio (tenant.zenic-flijo.com), (2) middleware de resolucion de tenant que inyecta el contexto en cada request, y (3) conexion a base de datos con pool por tenant.</w:t>
      </w:r>
    </w:p>
    <w:p>
      <w:pPr>
        <w:spacing w:after="80" w:line="312"/>
        <w:ind w:firstLine="480"/>
        <w:jc w:val="both"/>
      </w:pPr>
      <w:r>
        <w:rPr>
          <w:rFonts w:ascii="Calibri" w:eastAsia="Microsoft YaHei"/>
          <w:color w:val="000000"/>
          <w:sz w:val="24"/>
          <w:szCs w:val="24"/>
        </w:rPr>
        <w:t xml:space="preserve">El contexto de tenant se propaga a traves de toda la pipeline de ejecucion: desde la request HTTP, pasando por el WorkflowEngine, hasta cada StepExecutor y conector. Esto garantiza que un workflow en Tenant A nunca acceda a datos o credenciales de Tenant B. Las credenciales de conectores se almacenan cifradas por tenant con claves BYOK (Bring Your Own Key), donde cada tenant puede proporcionar su propia clave maestra de cifrado.</w:t>
      </w:r>
    </w:p>
    <w:p>
      <w:pPr>
        <w:pStyle w:val="Heading3"/>
        <w:spacing w:after="100" w:before="200" w:line="312"/>
      </w:pPr>
      <w:bookmarkStart w:id="100019" w:name="_Toc100019"/>
      <w:r>
        <w:rPr>
          <w:rFonts w:ascii="Calibri" w:eastAsia="SimHei"/>
          <w:b/>
          <w:bCs/>
          <w:color w:val="162235"/>
          <w:sz w:val="24"/>
          <w:szCs w:val="24"/>
        </w:rPr>
        <w:t xml:space="preserve">4.2.3 Ejecucion Duradera de Workflows</w:t>
      </w:r>
      <w:bookmarkEnd w:id="100019"/>
    </w:p>
    <w:p>
      <w:pPr>
        <w:spacing w:after="80" w:line="312"/>
        <w:ind w:firstLine="480"/>
        <w:jc w:val="both"/>
      </w:pPr>
      <w:r>
        <w:rPr>
          <w:rFonts w:ascii="Calibri" w:eastAsia="Microsoft YaHei"/>
          <w:color w:val="000000"/>
          <w:sz w:val="24"/>
          <w:szCs w:val="24"/>
        </w:rPr>
        <w:t xml:space="preserve">El motor de workflows actual ejecuta pasos en memoria y pierde estado si el proceso se reinicia. La ejecucion duradera requiere que el estado de cada workflow se persista de forma inmutable despues de cada paso completado, permitiendo la reanudacion exacta desde el ultimo punto consistente tras un crash o reinicio. La implementacion sigue el patron de event-sourcing utilizado por Temporal: cada paso genera un evento (StepStarted, StepCompleted, StepFailed) que se almacena en un log de eventos inmutable, y el estado del workflow se reconstruye reproduciento estos eventos.</w:t>
      </w:r>
    </w:p>
    <w:p>
      <w:pPr>
        <w:spacing w:after="80" w:line="312"/>
        <w:ind w:firstLine="480"/>
        <w:jc w:val="both"/>
      </w:pPr>
      <w:r>
        <w:rPr>
          <w:rFonts w:ascii="Calibri" w:eastAsia="Microsoft YaHei"/>
          <w:color w:val="000000"/>
          <w:sz w:val="24"/>
          <w:szCs w:val="24"/>
        </w:rPr>
        <w:t xml:space="preserve">Se implementaran tres capacidades criticas: (1) Checkpointing automatico: despues de cada paso, el estado completo del workflow (variables, posicion, resultados parciales) se serializa y persiste; (2) Recovery: al reiniciar, el motor lee el ultimo checkpoint y reanuda la ejecucion desde ese punto; y (3) Heartbeats: para pasos de larga duracion (espera de aprobacion humana, descarga de archivos grandes), el executor envia heartbeats periodicos que permiten detectar steps colgados y reasignarlos a otros workers.</w:t>
      </w:r>
    </w:p>
    <w:p>
      <w:pPr>
        <w:pStyle w:val="Heading3"/>
        <w:spacing w:after="100" w:before="200" w:line="312"/>
      </w:pPr>
      <w:bookmarkStart w:id="100020" w:name="_Toc100020"/>
      <w:r>
        <w:rPr>
          <w:rFonts w:ascii="Calibri" w:eastAsia="SimHei"/>
          <w:b/>
          <w:bCs/>
          <w:color w:val="162235"/>
          <w:sz w:val="24"/>
          <w:szCs w:val="24"/>
        </w:rPr>
        <w:t xml:space="preserve">4.2.4 Observabilidad — Primer Nivel</w:t>
      </w:r>
      <w:bookmarkEnd w:id="100020"/>
    </w:p>
    <w:p>
      <w:pPr>
        <w:spacing w:after="80" w:line="312"/>
        <w:ind w:firstLine="480"/>
        <w:jc w:val="both"/>
      </w:pPr>
      <w:r>
        <w:rPr>
          <w:rFonts w:ascii="Calibri" w:eastAsia="Microsoft YaHei"/>
          <w:color w:val="000000"/>
          <w:sz w:val="24"/>
          <w:szCs w:val="24"/>
        </w:rPr>
        <w:t xml:space="preserve">Implementar la instrumentacion OpenTelemetry en los tres pilares: (1) Metrics: contador de workflows ejecutados, histograma de duracion por tipo, tasa de errores por step, profundidad de cola de trabajos, percentiles de latencia de conectores; (2) Tracing: spans jerarquicos para cada workflow -&gt; step -&gt; actividad de conector, con propagacion de contexto trace-id a traves de todo el flujo; y (3) Logging: logs estructurados con correlacion por trace-id y tenant-id. Se utiliza el SDK de OpenTelemetry para Python con export a Prometheus (metrics) y Jaeger/Zipkin (traces).</w:t>
      </w:r>
    </w:p>
    <w:p>
      <w:pPr>
        <w:pStyle w:val="Heading3"/>
        <w:spacing w:after="100" w:before="200" w:line="312"/>
      </w:pPr>
      <w:bookmarkStart w:id="100021" w:name="_Toc100021"/>
      <w:r>
        <w:rPr>
          <w:rFonts w:ascii="Calibri" w:eastAsia="SimHei"/>
          <w:b/>
          <w:bCs/>
          <w:color w:val="162235"/>
          <w:sz w:val="24"/>
          <w:szCs w:val="24"/>
        </w:rPr>
        <w:t xml:space="preserve">4.2.5 Entregables Fase 1</w:t>
      </w:r>
      <w:bookmarkEnd w:id="10002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Entregable</w:t>
            </w:r>
          </w:p>
        </w:tc>
        <w:tc>
          <w:tcPr>
            <w:tcW w:type="pct" w:w="40%"/>
            <w:shd w:fill="1B6B7A" w:val="clear"/>
            <w:tcMar>
              <w:top w:type="dxa" w:w="60"/>
              <w:left w:type="dxa" w:w="120"/>
              <w:bottom w:type="dxa" w:w="60"/>
              <w:right w:type="dxa" w:w="120"/>
            </w:tcMar>
          </w:tcPr>
          <w:p>
            <w:r>
              <w:rPr>
                <w:rFonts w:ascii="Calibri" w:eastAsia="Microsoft YaHei"/>
                <w:b/>
                <w:bCs/>
                <w:color w:val="FFFFFF"/>
                <w:sz w:val="21"/>
                <w:szCs w:val="21"/>
              </w:rPr>
              <w:t xml:space="preserve">Descripcion</w:t>
            </w:r>
          </w:p>
        </w:tc>
        <w:tc>
          <w:tcPr>
            <w:tcW w:type="pct" w:w="38%"/>
            <w:shd w:fill="1B6B7A" w:val="clear"/>
            <w:tcMar>
              <w:top w:type="dxa" w:w="60"/>
              <w:left w:type="dxa" w:w="120"/>
              <w:bottom w:type="dxa" w:w="60"/>
              <w:right w:type="dxa" w:w="120"/>
            </w:tcMar>
          </w:tcPr>
          <w:p>
            <w:r>
              <w:rPr>
                <w:rFonts w:ascii="Calibri" w:eastAsia="Microsoft YaHei"/>
                <w:b/>
                <w:bCs/>
                <w:color w:val="FFFFFF"/>
                <w:sz w:val="21"/>
                <w:szCs w:val="21"/>
              </w:rPr>
              <w:t xml:space="preserve">Criterio de Aceptacion</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SSO SAML 2.0</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Integracion con Okta/Azure AD/OneLogin</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Login + logout + provision de usuarios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SSO OIDC</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Google Workspace + Auth0 + Keycloak</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Flujo Authorization Code + PKCE</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Multi-Tenancy Hybrid</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DB-per-tenant + Schema-per-tenant</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Aislamiento verificado, 0 cross-tenant leaks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Ejecucion Duradera</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Checkpointing + Recovery + Heartbeats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Workflow sobrevive crash de proceso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OpenTelemetry</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Metrics + Tracing + Structured Logging</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Dashboards Grafana funcionales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BYOK Encryption</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Cifrado per-tenant con clave propia</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Rotacion de claves sin downtime</w:t>
            </w:r>
          </w:p>
        </w:tc>
      </w:tr>
    </w:tbl>
    <w:p>
      <w:pPr>
        <w:spacing w:before="120"/>
      </w:pPr>
    </w:p>
    <w:p>
      <w:pPr>
        <w:pStyle w:val="Heading2"/>
        <w:spacing w:after="120" w:before="280" w:line="312"/>
      </w:pPr>
      <w:bookmarkStart w:id="100022" w:name="_Toc100022"/>
      <w:r>
        <w:rPr>
          <w:rFonts w:ascii="Calibri" w:eastAsia="SimHei"/>
          <w:b/>
          <w:bCs/>
          <w:color w:val="162235"/>
          <w:sz w:val="28"/>
          <w:szCs w:val="28"/>
        </w:rPr>
        <w:t xml:space="preserve">4.3 Fase 2 — Plataforma Developer (Meses 8-11)</w:t>
      </w:r>
      <w:bookmarkEnd w:id="100022"/>
    </w:p>
    <w:p>
      <w:pPr>
        <w:spacing w:after="80" w:line="312"/>
        <w:ind w:firstLine="480"/>
        <w:jc w:val="both"/>
      </w:pPr>
      <w:r>
        <w:rPr>
          <w:rFonts w:ascii="Calibri" w:eastAsia="Microsoft YaHei"/>
          <w:color w:val="000000"/>
          <w:sz w:val="24"/>
          <w:szCs w:val="24"/>
        </w:rPr>
        <w:t xml:space="preserve">La Fase 2 construye la plataforma developer que convierte a Zenic-Flijo de un producto en un ecosistema. Las plataformas enterprise exitosas no solo ofrecen funcionalidad propia, sino que habilitan a desarrolladores externos a extender la plataforma, crear conectores, y construir soluciones verticales. Esta fase establece las herramientas, SDK, documentacion, y infraestructura de marketplace que permiten la escalabilidad organica del ecosistema de conectores.</w:t>
      </w:r>
    </w:p>
    <w:p>
      <w:pPr>
        <w:pStyle w:val="Heading3"/>
        <w:spacing w:after="100" w:before="200" w:line="312"/>
      </w:pPr>
      <w:bookmarkStart w:id="100023" w:name="_Toc100023"/>
      <w:r>
        <w:rPr>
          <w:rFonts w:ascii="Calibri" w:eastAsia="SimHei"/>
          <w:b/>
          <w:bCs/>
          <w:color w:val="162235"/>
          <w:sz w:val="24"/>
          <w:szCs w:val="24"/>
        </w:rPr>
        <w:t xml:space="preserve">4.3.1 SDK y CLI de Conectores</w:t>
      </w:r>
      <w:bookmarkEnd w:id="100023"/>
    </w:p>
    <w:p>
      <w:pPr>
        <w:spacing w:after="80" w:line="312"/>
        <w:ind w:firstLine="480"/>
        <w:jc w:val="both"/>
      </w:pPr>
      <w:r>
        <w:rPr>
          <w:rFonts w:ascii="Calibri" w:eastAsia="Microsoft YaHei"/>
          <w:color w:val="000000"/>
          <w:sz w:val="24"/>
          <w:szCs w:val="24"/>
        </w:rPr>
        <w:t xml:space="preserve">Crear un SDK de conectores en Python que permita a desarrolladores construir nuevos conectores en horas, no en dias. El SDK debe proporcionar: (1) Clase base Connector con metodos abstractos (connect, execute, validate, disconnect), (2) Sistema de autenticacion abstracto (OAuth 1.0/2.0, API Key, Basic Auth, mTLS, Custom), (3) Definicion de schema de inputs/outputs con validacion Pydantic, (4) Rate limiting declarativo, retry con backoff exponencial, y circuit breaker integrados, (5) Generacion automatica de documentacion OpenAPI a partir del schema del conector. El CLI (zenic-cli) proporciona comandos para: init (scaffold de conector), test (ejecucion en sandbox), validate (verificacion de schema), publish (envio al marketplace), y version (gestion de versiones semver).</w:t>
      </w:r>
    </w:p>
    <w:p>
      <w:pPr>
        <w:pStyle w:val="Heading3"/>
        <w:spacing w:after="100" w:before="200" w:line="312"/>
      </w:pPr>
      <w:bookmarkStart w:id="100024" w:name="_Toc100024"/>
      <w:r>
        <w:rPr>
          <w:rFonts w:ascii="Calibri" w:eastAsia="SimHei"/>
          <w:b/>
          <w:bCs/>
          <w:color w:val="162235"/>
          <w:sz w:val="24"/>
          <w:szCs w:val="24"/>
        </w:rPr>
        <w:t xml:space="preserve">4.3.2 API Publica v2 (FastAPI)</w:t>
      </w:r>
      <w:bookmarkEnd w:id="100024"/>
    </w:p>
    <w:p>
      <w:pPr>
        <w:spacing w:after="80" w:line="312"/>
        <w:ind w:firstLine="480"/>
        <w:jc w:val="both"/>
      </w:pPr>
      <w:r>
        <w:rPr>
          <w:rFonts w:ascii="Calibri" w:eastAsia="Microsoft YaHei"/>
          <w:color w:val="000000"/>
          <w:sz w:val="24"/>
          <w:szCs w:val="24"/>
        </w:rPr>
        <w:t xml:space="preserve">Construir una nueva API publica basada en FastAPI que reemplace gradualmente la API Flask interna. FastAPI proporciona: generacion automatica de documentacion OpenAPI/Swagger, validacion de request/response con Pydantic, soporte nativo para async/await, y rendimiento superior (ASGI vs WSGI). La API v2 incluye endpoints para: gestion de workflows (CRUD + ejecucion + monitoreo), gestion de conectores (listar + configurar + test), ejecucion de NLU (understand + compile + dry-run), y administracion de tenant (usuarios + roles + configuracion). Todos los endpoints estan versionados (/api/v2/) y requieren autenticacion via API Key o Bearer Token.</w:t>
      </w:r>
    </w:p>
    <w:p>
      <w:pPr>
        <w:pStyle w:val="Heading3"/>
        <w:spacing w:after="100" w:before="200" w:line="312"/>
      </w:pPr>
      <w:bookmarkStart w:id="100025" w:name="_Toc100025"/>
      <w:r>
        <w:rPr>
          <w:rFonts w:ascii="Calibri" w:eastAsia="SimHei"/>
          <w:b/>
          <w:bCs/>
          <w:color w:val="162235"/>
          <w:sz w:val="24"/>
          <w:szCs w:val="24"/>
        </w:rPr>
        <w:t xml:space="preserve">4.3.3 Marketplace de Conectores</w:t>
      </w:r>
      <w:bookmarkEnd w:id="100025"/>
    </w:p>
    <w:p>
      <w:pPr>
        <w:spacing w:after="80" w:line="312"/>
        <w:ind w:firstLine="480"/>
        <w:jc w:val="both"/>
      </w:pPr>
      <w:r>
        <w:rPr>
          <w:rFonts w:ascii="Calibri" w:eastAsia="Microsoft YaHei"/>
          <w:color w:val="000000"/>
          <w:sz w:val="24"/>
          <w:szCs w:val="24"/>
        </w:rPr>
        <w:t xml:space="preserve">Implementar un marketplace de conectores siguiendo el patron de n8n (community nodes) y Workato (Recipe SDK). El marketplace incluye: (1) Repositorio central de conectores con metadatos (nombre, descripcion, version, autor, categoria, icono), (2) Sistema de certificacion: los conectores pasan por un proceso de revision automatica (lint, test, security scan) y manual (revision de codigo, prueba funcional) antes de ser publicados como certificados, (3) Buscador con filtros por categoria, popularidad, y estado de certificacion, y (4) Metricas de uso por conector (instalaciones, ejecuciones, tasa de error) para priorizar mantenimiento.</w:t>
      </w:r>
    </w:p>
    <w:p>
      <w:pPr>
        <w:pStyle w:val="Heading3"/>
        <w:spacing w:after="100" w:before="200" w:line="312"/>
      </w:pPr>
      <w:bookmarkStart w:id="100026" w:name="_Toc100026"/>
      <w:r>
        <w:rPr>
          <w:rFonts w:ascii="Calibri" w:eastAsia="SimHei"/>
          <w:b/>
          <w:bCs/>
          <w:color w:val="162235"/>
          <w:sz w:val="24"/>
          <w:szCs w:val="24"/>
        </w:rPr>
        <w:t xml:space="preserve">4.3.4 Expansion de Conectores (25 -&gt; 60)</w:t>
      </w:r>
      <w:bookmarkEnd w:id="100026"/>
    </w:p>
    <w:p>
      <w:pPr>
        <w:spacing w:after="80" w:line="312"/>
        <w:ind w:firstLine="480"/>
        <w:jc w:val="both"/>
      </w:pPr>
      <w:r>
        <w:rPr>
          <w:rFonts w:ascii="Calibri" w:eastAsia="Microsoft YaHei"/>
          <w:color w:val="000000"/>
          <w:sz w:val="24"/>
          <w:szCs w:val="24"/>
        </w:rPr>
        <w:t xml:space="preserve">Desarrollar 35 nuevos conectores priorizados por demanda enterprise y relevancia LATAM. La seleccion se basa en analisis de los conectores mas utilizados en n8n y Zapier, combinados con las integraciones especificas del mercado LATAM que los incumbentes no ofrecen:</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Categoria</w:t>
            </w:r>
          </w:p>
        </w:tc>
        <w:tc>
          <w:tcPr>
            <w:tcW w:type="pct" w:w="50%"/>
            <w:shd w:fill="1B6B7A" w:val="clear"/>
            <w:tcMar>
              <w:top w:type="dxa" w:w="60"/>
              <w:left w:type="dxa" w:w="120"/>
              <w:bottom w:type="dxa" w:w="60"/>
              <w:right w:type="dxa" w:w="120"/>
            </w:tcMar>
          </w:tcPr>
          <w:p>
            <w:r>
              <w:rPr>
                <w:rFonts w:ascii="Calibri" w:eastAsia="Microsoft YaHei"/>
                <w:b/>
                <w:bCs/>
                <w:color w:val="FFFFFF"/>
                <w:sz w:val="21"/>
                <w:szCs w:val="21"/>
              </w:rPr>
              <w:t xml:space="preserve">Conectores</w:t>
            </w:r>
          </w:p>
        </w:tc>
        <w:tc>
          <w:tcPr>
            <w:tcW w:type="pct" w:w="30%"/>
            <w:shd w:fill="1B6B7A" w:val="clear"/>
            <w:tcMar>
              <w:top w:type="dxa" w:w="60"/>
              <w:left w:type="dxa" w:w="120"/>
              <w:bottom w:type="dxa" w:w="60"/>
              <w:right w:type="dxa" w:w="120"/>
            </w:tcMar>
          </w:tcPr>
          <w:p>
            <w:r>
              <w:rPr>
                <w:rFonts w:ascii="Calibri" w:eastAsia="Microsoft YaHei"/>
                <w:b/>
                <w:bCs/>
                <w:color w:val="FFFFFF"/>
                <w:sz w:val="21"/>
                <w:szCs w:val="21"/>
              </w:rPr>
              <w:t xml:space="preserve">Prioridad</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Cloud/Storage</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AWS S3, Azure Blob, Dropbox, MinIO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CRM/ERP</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Salesforce, HubSpot, SAP, Totvs (LATAM)</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Comunicacion</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Microsoft Teams, Discord, WhatsApp Business, Twilio SMS</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Database</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MySQL, MongoDB Atlas, Supabase, PlanetScale</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Productividad</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Notion, Airtable, Jira, Confluence, Trello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Pagos LATAM</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PIX (Brasil), PayU, dLocal, Getnet</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Gobierno LATAM</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SAT Mexico (CFDI), DTE Chile, AFIP Argentina</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Marketing</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Mailchimp, SendGrid, Meta Ads, Google Ads</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DevOps</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GitHub, GitLab, Jenkins, Datadog</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IA/ML</w:t>
            </w:r>
          </w:p>
        </w:tc>
        <w:tc>
          <w:tcPr>
            <w:tcW w:type="pct" w:w="5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Anthropic Claude, Hugging Face, LangChain, Bedrock</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r>
    </w:tbl>
    <w:p>
      <w:pPr>
        <w:spacing w:before="120"/>
      </w:pPr>
    </w:p>
    <w:p>
      <w:pPr>
        <w:pStyle w:val="Heading3"/>
        <w:spacing w:after="100" w:before="200" w:line="312"/>
      </w:pPr>
      <w:bookmarkStart w:id="100027" w:name="_Toc100027"/>
      <w:r>
        <w:rPr>
          <w:rFonts w:ascii="Calibri" w:eastAsia="SimHei"/>
          <w:b/>
          <w:bCs/>
          <w:color w:val="162235"/>
          <w:sz w:val="24"/>
          <w:szCs w:val="24"/>
        </w:rPr>
        <w:t xml:space="preserve">4.3.5 Entregables Fase 2</w:t>
      </w:r>
      <w:bookmarkEnd w:id="10002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Entregable</w:t>
            </w:r>
          </w:p>
        </w:tc>
        <w:tc>
          <w:tcPr>
            <w:tcW w:type="pct" w:w="40%"/>
            <w:shd w:fill="1B6B7A" w:val="clear"/>
            <w:tcMar>
              <w:top w:type="dxa" w:w="60"/>
              <w:left w:type="dxa" w:w="120"/>
              <w:bottom w:type="dxa" w:w="60"/>
              <w:right w:type="dxa" w:w="120"/>
            </w:tcMar>
          </w:tcPr>
          <w:p>
            <w:r>
              <w:rPr>
                <w:rFonts w:ascii="Calibri" w:eastAsia="Microsoft YaHei"/>
                <w:b/>
                <w:bCs/>
                <w:color w:val="FFFFFF"/>
                <w:sz w:val="21"/>
                <w:szCs w:val="21"/>
              </w:rPr>
              <w:t xml:space="preserve">Descripcion</w:t>
            </w:r>
          </w:p>
        </w:tc>
        <w:tc>
          <w:tcPr>
            <w:tcW w:type="pct" w:w="38%"/>
            <w:shd w:fill="1B6B7A" w:val="clear"/>
            <w:tcMar>
              <w:top w:type="dxa" w:w="60"/>
              <w:left w:type="dxa" w:w="120"/>
              <w:bottom w:type="dxa" w:w="60"/>
              <w:right w:type="dxa" w:w="120"/>
            </w:tcMar>
          </w:tcPr>
          <w:p>
            <w:r>
              <w:rPr>
                <w:rFonts w:ascii="Calibri" w:eastAsia="Microsoft YaHei"/>
                <w:b/>
                <w:bCs/>
                <w:color w:val="FFFFFF"/>
                <w:sz w:val="21"/>
                <w:szCs w:val="21"/>
              </w:rPr>
              <w:t xml:space="preserve">Criterio de Aceptacion</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Connector SDK</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Clase base + auth + schema + docs auto</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Nuevo conector en &lt;4 horas de desarrollo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zenic-cli</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init + test + validate + publish + version</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CLI funcional en Linux/Mac/Windows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v2 FastAPI</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OpenAPI auto-doc + async + Pydantic</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50+ endpoints documentados y versionados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Marketplace v1</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Repositorio + certificacion + buscador</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20+ conectores certificados publicados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35 Conectores Nuevos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10 categorias con conectores enterprise</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Cada conector con tests + docs + schema</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Documentacion Developer</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Quickstart + API reference + tutorials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Onboarding a primer workflow en &lt;15 min</w:t>
            </w:r>
          </w:p>
        </w:tc>
      </w:tr>
    </w:tbl>
    <w:p>
      <w:pPr>
        <w:spacing w:before="120"/>
      </w:pPr>
    </w:p>
    <w:p>
      <w:pPr>
        <w:pStyle w:val="Heading2"/>
        <w:spacing w:after="120" w:before="280" w:line="312"/>
      </w:pPr>
      <w:bookmarkStart w:id="100028" w:name="_Toc100028"/>
      <w:r>
        <w:rPr>
          <w:rFonts w:ascii="Calibri" w:eastAsia="SimHei"/>
          <w:b/>
          <w:bCs/>
          <w:color w:val="162235"/>
          <w:sz w:val="28"/>
          <w:szCs w:val="28"/>
        </w:rPr>
        <w:t xml:space="preserve">4.4 Fase 3 — IA y Marketplace (Meses 12-15)</w:t>
      </w:r>
      <w:bookmarkEnd w:id="100028"/>
    </w:p>
    <w:p>
      <w:pPr>
        <w:spacing w:after="80" w:line="312"/>
        <w:ind w:firstLine="480"/>
        <w:jc w:val="both"/>
      </w:pPr>
      <w:r>
        <w:rPr>
          <w:rFonts w:ascii="Calibri" w:eastAsia="Microsoft YaHei"/>
          <w:color w:val="000000"/>
          <w:sz w:val="24"/>
          <w:szCs w:val="24"/>
        </w:rPr>
        <w:t xml:space="preserve">La Fase 3 capitaliza las ventajas unicas de Zenic-Flijo: el motor Orbital y el pipeline NLU, para construir la capa de orquestacion de agentes de IA que ningun competidor ofrece de forma nativa. Esta fase transforma la plataforma de una herramienta de automatizacion en un sistema de orquestacion inteligente donde agentes de IA operan dentro de workflows gobernados y auditables.</w:t>
      </w:r>
    </w:p>
    <w:p>
      <w:pPr>
        <w:pStyle w:val="Heading3"/>
        <w:spacing w:after="100" w:before="200" w:line="312"/>
      </w:pPr>
      <w:bookmarkStart w:id="100029" w:name="_Toc100029"/>
      <w:r>
        <w:rPr>
          <w:rFonts w:ascii="Calibri" w:eastAsia="SimHei"/>
          <w:b/>
          <w:bCs/>
          <w:color w:val="162235"/>
          <w:sz w:val="24"/>
          <w:szCs w:val="24"/>
        </w:rPr>
        <w:t xml:space="preserve">4.4.1 Framework de Agentes de IA</w:t>
      </w:r>
      <w:bookmarkEnd w:id="100029"/>
    </w:p>
    <w:p>
      <w:pPr>
        <w:spacing w:after="80" w:line="312"/>
        <w:ind w:firstLine="480"/>
        <w:jc w:val="both"/>
      </w:pPr>
      <w:r>
        <w:rPr>
          <w:rFonts w:ascii="Calibri" w:eastAsia="Microsoft YaHei"/>
          <w:color w:val="000000"/>
          <w:sz w:val="24"/>
          <w:szCs w:val="24"/>
        </w:rPr>
        <w:t xml:space="preserve">Construir un framework de agentes de IA integrado con el motor Orbital que proporcione: (1) Agent Lifecycle Management — creacion, configuracion, despliegue, monitoreo, y retirada de agentes con versionado de configuracion; (2) Tool/Function Calling — los agentes pueden invocar conectores del marketplace como herramientas, con limites de seguridad por agente (max calls, max cost, allowed tools); (3) Memory y Context Management — memoria a corto plazo (contexto de conversacion) y largo plazo (knowledge base vectorial) con persistencia entre ejecuciones; (4) Guardrails — validacion de salidas del agente contra schemas definidos, filtro de contenido, y limites de costo por ejecucion; y (5) Deterministic Fallback — cuando la confianza del agente esta por debajo de un umbral configurable, el sistema reemplaza automaticamente la accion del agente con un paso determinista predefinido, garantizando que el workflow nunca se bloquea por una respuesta de IA de baja calidad.</w:t>
      </w:r>
    </w:p>
    <w:p>
      <w:pPr>
        <w:pStyle w:val="Heading3"/>
        <w:spacing w:after="100" w:before="200" w:line="312"/>
      </w:pPr>
      <w:bookmarkStart w:id="100030" w:name="_Toc100030"/>
      <w:r>
        <w:rPr>
          <w:rFonts w:ascii="Calibri" w:eastAsia="SimHei"/>
          <w:b/>
          <w:bCs/>
          <w:color w:val="162235"/>
          <w:sz w:val="24"/>
          <w:szCs w:val="24"/>
        </w:rPr>
        <w:t xml:space="preserve">4.4.2 Orquestacion Multi-Agente</w:t>
      </w:r>
      <w:bookmarkEnd w:id="100030"/>
    </w:p>
    <w:p>
      <w:pPr>
        <w:spacing w:after="80" w:line="312"/>
        <w:ind w:firstLine="480"/>
        <w:jc w:val="both"/>
      </w:pPr>
      <w:r>
        <w:rPr>
          <w:rFonts w:ascii="Calibri" w:eastAsia="Microsoft YaHei"/>
          <w:color w:val="000000"/>
          <w:sz w:val="24"/>
          <w:szCs w:val="24"/>
        </w:rPr>
        <w:t xml:space="preserve">Implementar patrones de orquestacion multi-agente que logren la eficiencia 30% superior demostrada por estudios de Gartner respecto a agentes aislados. Los patrones incluyen: (1) Sequential Pipeline — agentes especializados ejecutan en secuencia, donde la salida de uno alimenta al siguiente (ejemplo: agente extractor -&gt; agente clasificador -&gt; agente respondedor); (2) Parallel Fan-out/Fan-in — multiples agentes procesan datos simultaneamente y sus resultados se consolidan; (3) Supervisor-Worker — un agente supervisor coordina y delega tareas a agentes trabajadores especializados; y (4) Debate/Consensus — multiples agentes proponen soluciones y un mecanismo de consenso selecciona la mejor. Todos los patrones se implementan como nodos nativos del motor Orbital, permitiendo composicion visual de flujos multi-agente.</w:t>
      </w:r>
    </w:p>
    <w:p>
      <w:pPr>
        <w:pStyle w:val="Heading3"/>
        <w:spacing w:after="100" w:before="200" w:line="312"/>
      </w:pPr>
      <w:bookmarkStart w:id="100031" w:name="_Toc100031"/>
      <w:r>
        <w:rPr>
          <w:rFonts w:ascii="Calibri" w:eastAsia="SimHei"/>
          <w:b/>
          <w:bCs/>
          <w:color w:val="162235"/>
          <w:sz w:val="24"/>
          <w:szCs w:val="24"/>
        </w:rPr>
        <w:t xml:space="preserve">4.4.3 Token y Cost Tracking</w:t>
      </w:r>
      <w:bookmarkEnd w:id="100031"/>
    </w:p>
    <w:p>
      <w:pPr>
        <w:spacing w:after="80" w:line="312"/>
        <w:ind w:firstLine="480"/>
        <w:jc w:val="both"/>
      </w:pPr>
      <w:r>
        <w:rPr>
          <w:rFonts w:ascii="Calibri" w:eastAsia="Microsoft YaHei"/>
          <w:color w:val="000000"/>
          <w:sz w:val="24"/>
          <w:szCs w:val="24"/>
        </w:rPr>
        <w:t xml:space="preserve">Implementar un sistema de tracking granular de consumo de tokens y costos por modelo de IA. Cada llamada a un proveedor de IA (OpenAI, Anthropic, Ollama, Bedrock) se instrumenta para capturar: tokens de entrada, tokens de salida, modelo utilizado, latencia, y costo calculado. Los datos se agregan por workflow, por agente, por tenant, y por periodo temporal. Se proporcionan dashboards de uso con alertas configurables por umbral de costo, presupuestos por proyecto con bloqueo automatico al exceder el limite, y reportes de eficiencia (costo por tarea completada, costo por workflow ejecutado).</w:t>
      </w:r>
    </w:p>
    <w:p>
      <w:pPr>
        <w:pStyle w:val="Heading3"/>
        <w:spacing w:after="100" w:before="200" w:line="312"/>
      </w:pPr>
      <w:bookmarkStart w:id="100032" w:name="_Toc100032"/>
      <w:r>
        <w:rPr>
          <w:rFonts w:ascii="Calibri" w:eastAsia="SimHei"/>
          <w:b/>
          <w:bCs/>
          <w:color w:val="162235"/>
          <w:sz w:val="24"/>
          <w:szCs w:val="24"/>
        </w:rPr>
        <w:t xml:space="preserve">4.4.4 Marketplace de Templates y Workflows</w:t>
      </w:r>
      <w:bookmarkEnd w:id="100032"/>
    </w:p>
    <w:p>
      <w:pPr>
        <w:spacing w:after="80" w:line="312"/>
        <w:ind w:firstLine="480"/>
        <w:jc w:val="both"/>
      </w:pPr>
      <w:r>
        <w:rPr>
          <w:rFonts w:ascii="Calibri" w:eastAsia="Microsoft YaHei"/>
          <w:color w:val="000000"/>
          <w:sz w:val="24"/>
          <w:szCs w:val="24"/>
        </w:rPr>
        <w:t xml:space="preserve">Expandir el marketplace de conectores a un marketplace completo que incluya: (1) Templates de workflows — blueprints preconstruidos para casos de uso comunes (onboarding de empleados, procesamiento de facturas, monitoring de redes sociales) que los usuarios pueden clonar y personalizar; (2) Agent Blueprints — configuraciones predefinidas de agentes con prompts, herramientas, y guardrails listos para uso; y (3) Vertical Solutions — paquetes completos (connectors + templates + agents) para industrias especificas (healthcare, finanzas, retail). El marketplace soporta ratings, reviews, y un modelo de revenue sharing donde los creadores reciben un porcentaje de las suscripciones generadas por sus publicaciones.</w:t>
      </w:r>
    </w:p>
    <w:p>
      <w:pPr>
        <w:pStyle w:val="Heading3"/>
        <w:spacing w:after="100" w:before="200" w:line="312"/>
      </w:pPr>
      <w:bookmarkStart w:id="100033" w:name="_Toc100033"/>
      <w:r>
        <w:rPr>
          <w:rFonts w:ascii="Calibri" w:eastAsia="SimHei"/>
          <w:b/>
          <w:bCs/>
          <w:color w:val="162235"/>
          <w:sz w:val="24"/>
          <w:szCs w:val="24"/>
        </w:rPr>
        <w:t xml:space="preserve">4.4.5 Entregables Fase 3</w:t>
      </w:r>
      <w:bookmarkEnd w:id="10003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Entregable</w:t>
            </w:r>
          </w:p>
        </w:tc>
        <w:tc>
          <w:tcPr>
            <w:tcW w:type="pct" w:w="40%"/>
            <w:shd w:fill="1B6B7A" w:val="clear"/>
            <w:tcMar>
              <w:top w:type="dxa" w:w="60"/>
              <w:left w:type="dxa" w:w="120"/>
              <w:bottom w:type="dxa" w:w="60"/>
              <w:right w:type="dxa" w:w="120"/>
            </w:tcMar>
          </w:tcPr>
          <w:p>
            <w:r>
              <w:rPr>
                <w:rFonts w:ascii="Calibri" w:eastAsia="Microsoft YaHei"/>
                <w:b/>
                <w:bCs/>
                <w:color w:val="FFFFFF"/>
                <w:sz w:val="21"/>
                <w:szCs w:val="21"/>
              </w:rPr>
              <w:t xml:space="preserve">Descripcion</w:t>
            </w:r>
          </w:p>
        </w:tc>
        <w:tc>
          <w:tcPr>
            <w:tcW w:type="pct" w:w="38%"/>
            <w:shd w:fill="1B6B7A" w:val="clear"/>
            <w:tcMar>
              <w:top w:type="dxa" w:w="60"/>
              <w:left w:type="dxa" w:w="120"/>
              <w:bottom w:type="dxa" w:w="60"/>
              <w:right w:type="dxa" w:w="120"/>
            </w:tcMar>
          </w:tcPr>
          <w:p>
            <w:r>
              <w:rPr>
                <w:rFonts w:ascii="Calibri" w:eastAsia="Microsoft YaHei"/>
                <w:b/>
                <w:bCs/>
                <w:color w:val="FFFFFF"/>
                <w:sz w:val="21"/>
                <w:szCs w:val="21"/>
              </w:rPr>
              <w:t xml:space="preserve">Criterio de Aceptacion</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AI Agent Framework</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Lifecycle + tools + memory + guardrails + fallback</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Agente funcional con fallback determinista</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Multi-Agent Patterns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Sequential + Parallel + Supervisor + Debate</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 patrones con tests de integracion</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Token/Cost Tracking</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Dashboard + presupuestos + alertas + reportes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Tracking por llamada con precision de 1 token</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Templates Marketplace</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Workflows + Agents + Vertical Solutions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30+ templates y 5+ verticals publicados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BPMN 2.0 Import/Export</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Compatibilidad con Camunda Modeler</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Import + export de procesos BPMN validos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Type I</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Auditoria y certificacion SOC 2 Type I</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Informe de auditor limpio sin excepciones</w:t>
            </w:r>
          </w:p>
        </w:tc>
      </w:tr>
    </w:tbl>
    <w:p>
      <w:pPr>
        <w:spacing w:before="120"/>
      </w:pPr>
    </w:p>
    <w:p>
      <w:pPr>
        <w:pStyle w:val="Heading2"/>
        <w:spacing w:after="120" w:before="280" w:line="312"/>
      </w:pPr>
      <w:bookmarkStart w:id="100034" w:name="_Toc100034"/>
      <w:r>
        <w:rPr>
          <w:rFonts w:ascii="Calibri" w:eastAsia="SimHei"/>
          <w:b/>
          <w:bCs/>
          <w:color w:val="162235"/>
          <w:sz w:val="28"/>
          <w:szCs w:val="28"/>
        </w:rPr>
        <w:t xml:space="preserve">4.5 Fase 4 — Escala Global y Compliance (Meses 16-18)</w:t>
      </w:r>
      <w:bookmarkEnd w:id="100034"/>
    </w:p>
    <w:p>
      <w:pPr>
        <w:spacing w:after="80" w:line="312"/>
        <w:ind w:firstLine="480"/>
        <w:jc w:val="both"/>
      </w:pPr>
      <w:r>
        <w:rPr>
          <w:rFonts w:ascii="Calibri" w:eastAsia="Microsoft YaHei"/>
          <w:color w:val="000000"/>
          <w:sz w:val="24"/>
          <w:szCs w:val="24"/>
        </w:rPr>
        <w:t xml:space="preserve">La Fase 4 prepara a Zenic-Flijo para operar a escala global con cumplimiento regulatorio en multiples jurisdicciones. Esta fase completa las certificaciones de compliance, implementa la infraestructura de despliegue global, y establece las partnerships estrategicas necesarias para competir por contratos enterprise de gran escala. Al cierre de esta fase, Zenic-Flijo debe ser elegible para procesos de procurement enterprise que requieren SOC 2 Type II, GDPR compliance, y la opcion de despliegue en nube soberana.</w:t>
      </w:r>
    </w:p>
    <w:p>
      <w:pPr>
        <w:pStyle w:val="Heading3"/>
        <w:spacing w:after="100" w:before="200" w:line="312"/>
      </w:pPr>
      <w:bookmarkStart w:id="100035" w:name="_Toc100035"/>
      <w:r>
        <w:rPr>
          <w:rFonts w:ascii="Calibri" w:eastAsia="SimHei"/>
          <w:b/>
          <w:bCs/>
          <w:color w:val="162235"/>
          <w:sz w:val="24"/>
          <w:szCs w:val="24"/>
        </w:rPr>
        <w:t xml:space="preserve">4.5.1 Compliance y Certificaciones</w:t>
      </w:r>
      <w:bookmarkEnd w:id="100035"/>
    </w:p>
    <w:p>
      <w:pPr>
        <w:spacing w:after="80" w:line="312"/>
        <w:ind w:firstLine="480"/>
        <w:jc w:val="both"/>
      </w:pPr>
      <w:r>
        <w:rPr>
          <w:rFonts w:ascii="Calibri" w:eastAsia="Microsoft YaHei"/>
          <w:color w:val="000000"/>
          <w:sz w:val="24"/>
          <w:szCs w:val="24"/>
        </w:rPr>
        <w:t xml:space="preserve">Completar las certificaciones de compliance que son requisitos no negociables para contratos enterprise en sectores regulados. SOC 2 Type II requiere 6-12 meses de operacion continua con controles verificados, por lo que la preparacion comienza en la Fase 2. Para GDPR, implementar: consent tracking con registro de cuando, como, y para que proposito se obtuvo el consentimiento; derecho al olvido con eliminacion completa de datos por tenant; controles de residencia de datos (EU data stays in EU); y Data Processing Agreements (DPAs) automatizados. Para HIPAA (sector salud): Business Associate Agreements (BAAs), cifrado AES-256 para PHI en reposo y en transito, audit trails inmutables de acceso a datos de salud, y notificacion de brechas en 60 dias.</w:t>
      </w:r>
    </w:p>
    <w:p>
      <w:pPr>
        <w:pStyle w:val="Heading3"/>
        <w:spacing w:after="100" w:before="200" w:line="312"/>
      </w:pPr>
      <w:bookmarkStart w:id="100036" w:name="_Toc100036"/>
      <w:r>
        <w:rPr>
          <w:rFonts w:ascii="Calibri" w:eastAsia="SimHei"/>
          <w:b/>
          <w:bCs/>
          <w:color w:val="162235"/>
          <w:sz w:val="24"/>
          <w:szCs w:val="24"/>
        </w:rPr>
        <w:t xml:space="preserve">4.5.2 Despliegue Global y Alta Disponibilidad</w:t>
      </w:r>
      <w:bookmarkEnd w:id="100036"/>
    </w:p>
    <w:p>
      <w:pPr>
        <w:spacing w:after="80" w:line="312"/>
        <w:ind w:firstLine="480"/>
        <w:jc w:val="both"/>
      </w:pPr>
      <w:r>
        <w:rPr>
          <w:rFonts w:ascii="Calibri" w:eastAsia="Microsoft YaHei"/>
          <w:color w:val="000000"/>
          <w:sz w:val="24"/>
          <w:szCs w:val="24"/>
        </w:rPr>
        <w:t xml:space="preserve">Implementar la infraestructura para despliegue multi-region con: (1) Kubernetes (Helm charts) para orquestacion de contenedores con auto-scaling horizontal basado en metricas de carga (workflow queue depth, CPU, memoria); (2) Deployment en AWS (us-east-1, sa-east-1), Azure (westeurope, brazilsouth), y GCP (us-central1, southamerica-east1) con data residency configurable por tenant; (3) Disaster recovery con RPO &lt;1 hora y RTO &lt;4 horas mediante replicacion de base de datos cross-region y failover automatico; y (4) Opcion de despliegue air-gapped para clientes gubernamentales y de defensa que requieren operacion completamente offline sin dependencias de internet.</w:t>
      </w:r>
    </w:p>
    <w:p>
      <w:pPr>
        <w:pStyle w:val="Heading3"/>
        <w:spacing w:after="100" w:before="200" w:line="312"/>
      </w:pPr>
      <w:bookmarkStart w:id="100037" w:name="_Toc100037"/>
      <w:r>
        <w:rPr>
          <w:rFonts w:ascii="Calibri" w:eastAsia="SimHei"/>
          <w:b/>
          <w:bCs/>
          <w:color w:val="162235"/>
          <w:sz w:val="24"/>
          <w:szCs w:val="24"/>
        </w:rPr>
        <w:t xml:space="preserve">4.5.3 Partnerships y Ecosistema</w:t>
      </w:r>
      <w:bookmarkEnd w:id="100037"/>
    </w:p>
    <w:p>
      <w:pPr>
        <w:spacing w:after="80" w:line="312"/>
        <w:ind w:firstLine="480"/>
        <w:jc w:val="both"/>
      </w:pPr>
      <w:r>
        <w:rPr>
          <w:rFonts w:ascii="Calibri" w:eastAsia="Microsoft YaHei"/>
          <w:color w:val="000000"/>
          <w:sz w:val="24"/>
          <w:szCs w:val="24"/>
        </w:rPr>
        <w:t xml:space="preserve">Establecer partnerships estrategicos para acelerar la penetracion en el mercado enterprise: (1) Partnership con AWS/Azure/GCP para listing en sus marketplaces de SaaS (AWS Marketplace, Azure Marketplace, Google Cloud Marketplace), lo que permite a clientes enterprise comprar Zenic-Flijo con su commit cloud existente; (2) Partnership con system integrators regionales (Softserve, Globant, NEORIS) para ofrecer servicios de implementacion y personalizacion; (3) Partnership con proveedores de IA (Anthropic, Cohere, Mistral) para ofrecer modelos nativos integrados como alternativa a OpenAI; y (4) Programa de certificacion para desarrolladores de conectores con insignias verificables y acceso anticipado a nuevas APIs.</w:t>
      </w:r>
    </w:p>
    <w:p>
      <w:pPr>
        <w:pStyle w:val="Heading3"/>
        <w:spacing w:after="100" w:before="200" w:line="312"/>
      </w:pPr>
      <w:bookmarkStart w:id="100038" w:name="_Toc100038"/>
      <w:r>
        <w:rPr>
          <w:rFonts w:ascii="Calibri" w:eastAsia="SimHei"/>
          <w:b/>
          <w:bCs/>
          <w:color w:val="162235"/>
          <w:sz w:val="24"/>
          <w:szCs w:val="24"/>
        </w:rPr>
        <w:t xml:space="preserve">4.5.4 Localizacion LATAM Completa</w:t>
      </w:r>
      <w:bookmarkEnd w:id="100038"/>
    </w:p>
    <w:p>
      <w:pPr>
        <w:spacing w:after="80" w:line="312"/>
        <w:ind w:firstLine="480"/>
        <w:jc w:val="both"/>
      </w:pPr>
      <w:r>
        <w:rPr>
          <w:rFonts w:ascii="Calibri" w:eastAsia="Microsoft YaHei"/>
          <w:color w:val="000000"/>
          <w:sz w:val="24"/>
          <w:szCs w:val="24"/>
        </w:rPr>
        <w:t xml:space="preserve">Completar la localizacion para los 3 mercados LATAM prioritarios: Brasil (pt-BR + LGPD + PIX + Totvs + Nota Fiscal), Mexico (es-MX + SAT/CFDI 4.0 + SPEI), y Colombia/Chile/Argentina (es regional + DTE + AFIP + mercado de payments local). La localizacion incluye: traduccion completa de UI, documentacion, y mensajes de error; integraciones con sistemas fiscales y de facturacion electronica locales; cumplimiento de regulaciones de proteccion de datos de cada pais; y adaptacion de formatos (moneda, fecha, numero) a las convenciones locales. Esta localizacion es un foso competitivo significativo ya que ningun competidor global ofrece soporte nativo para estas integraciones regionales.</w:t>
      </w:r>
    </w:p>
    <w:p>
      <w:pPr>
        <w:pStyle w:val="Heading3"/>
        <w:spacing w:after="100" w:before="200" w:line="312"/>
      </w:pPr>
      <w:bookmarkStart w:id="100039" w:name="_Toc100039"/>
      <w:r>
        <w:rPr>
          <w:rFonts w:ascii="Calibri" w:eastAsia="SimHei"/>
          <w:b/>
          <w:bCs/>
          <w:color w:val="162235"/>
          <w:sz w:val="24"/>
          <w:szCs w:val="24"/>
        </w:rPr>
        <w:t xml:space="preserve">4.5.5 Entregables Fase 4</w:t>
      </w:r>
      <w:bookmarkEnd w:id="10003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Entregable</w:t>
            </w:r>
          </w:p>
        </w:tc>
        <w:tc>
          <w:tcPr>
            <w:tcW w:type="pct" w:w="40%"/>
            <w:shd w:fill="1B6B7A" w:val="clear"/>
            <w:tcMar>
              <w:top w:type="dxa" w:w="60"/>
              <w:left w:type="dxa" w:w="120"/>
              <w:bottom w:type="dxa" w:w="60"/>
              <w:right w:type="dxa" w:w="120"/>
            </w:tcMar>
          </w:tcPr>
          <w:p>
            <w:r>
              <w:rPr>
                <w:rFonts w:ascii="Calibri" w:eastAsia="Microsoft YaHei"/>
                <w:b/>
                <w:bCs/>
                <w:color w:val="FFFFFF"/>
                <w:sz w:val="21"/>
                <w:szCs w:val="21"/>
              </w:rPr>
              <w:t xml:space="preserve">Descripcion</w:t>
            </w:r>
          </w:p>
        </w:tc>
        <w:tc>
          <w:tcPr>
            <w:tcW w:type="pct" w:w="38%"/>
            <w:shd w:fill="1B6B7A" w:val="clear"/>
            <w:tcMar>
              <w:top w:type="dxa" w:w="60"/>
              <w:left w:type="dxa" w:w="120"/>
              <w:bottom w:type="dxa" w:w="60"/>
              <w:right w:type="dxa" w:w="120"/>
            </w:tcMar>
          </w:tcPr>
          <w:p>
            <w:r>
              <w:rPr>
                <w:rFonts w:ascii="Calibri" w:eastAsia="Microsoft YaHei"/>
                <w:b/>
                <w:bCs/>
                <w:color w:val="FFFFFF"/>
                <w:sz w:val="21"/>
                <w:szCs w:val="21"/>
              </w:rPr>
              <w:t xml:space="preserve">Criterio de Aceptacion</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Type II</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Certificacion continua de controles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Informe de auditor limpio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GDPR Compliance</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Consent + erasure + residency + DPA</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Evaluacion DPA externa aprobada</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HIPAA Ready</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BAA + AES-256 + audit PHI + breach notify</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Evaluacion de compliance HIPAA aprobada</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K8s Helm Charts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Auto-scaling + multi-region + DR</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Despliegue en 3 clouds con 1 comando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Air-Gapped Deploy</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Operacion offline sin dependencias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Instalacion funcional sin internet</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 Cloud Marketplaces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AWS + Azure + GCP listings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Listado aprobado en cada marketplace</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Localizacion LATAM</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BR + MX + COL/CL/AR</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UI + docs + integraciones en 3 idiomas</w:t>
            </w:r>
          </w:p>
        </w:tc>
      </w:tr>
    </w:tbl>
    <w:p>
      <w:pPr>
        <w:spacing w:before="120"/>
      </w:pPr>
    </w:p>
    <w:p>
      <w:pPr>
        <w:pStyle w:val="Heading1"/>
        <w:spacing w:after="160" w:before="360" w:line="312"/>
      </w:pPr>
      <w:bookmarkStart w:id="100040" w:name="_Toc100040"/>
      <w:r>
        <w:rPr>
          <w:rFonts w:ascii="Calibri" w:eastAsia="SimHei"/>
          <w:b/>
          <w:bCs/>
          <w:color w:val="162235"/>
          <w:sz w:val="32"/>
          <w:szCs w:val="32"/>
        </w:rPr>
        <w:t xml:space="preserve">5. Hoja de Ruta y Milestones</w:t>
      </w:r>
      <w:bookmarkEnd w:id="100040"/>
    </w:p>
    <w:p>
      <w:pPr>
        <w:pStyle w:val="Heading2"/>
        <w:spacing w:after="120" w:before="280" w:line="312"/>
      </w:pPr>
      <w:bookmarkStart w:id="100041" w:name="_Toc100041"/>
      <w:r>
        <w:rPr>
          <w:rFonts w:ascii="Calibri" w:eastAsia="SimHei"/>
          <w:b/>
          <w:bCs/>
          <w:color w:val="162235"/>
          <w:sz w:val="28"/>
          <w:szCs w:val="28"/>
        </w:rPr>
        <w:t xml:space="preserve">5.1 Cronograma Visual</w:t>
      </w:r>
      <w:bookmarkEnd w:id="10004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8%"/>
            <w:shd w:fill="1B6B7A" w:val="clear"/>
            <w:tcMar>
              <w:top w:type="dxa" w:w="60"/>
              <w:left w:type="dxa" w:w="120"/>
              <w:bottom w:type="dxa" w:w="60"/>
              <w:right w:type="dxa" w:w="120"/>
            </w:tcMar>
          </w:tcPr>
          <w:p>
            <w:r>
              <w:rPr>
                <w:rFonts w:ascii="Calibri" w:eastAsia="Microsoft YaHei"/>
                <w:b/>
                <w:bCs/>
                <w:color w:val="FFFFFF"/>
                <w:sz w:val="21"/>
                <w:szCs w:val="21"/>
              </w:rPr>
              <w:t xml:space="preserve">Mes</w:t>
            </w:r>
          </w:p>
        </w:tc>
        <w:tc>
          <w:tcPr>
            <w:tcW w:type="pct" w:w="10%"/>
            <w:shd w:fill="1B6B7A" w:val="clear"/>
            <w:tcMar>
              <w:top w:type="dxa" w:w="60"/>
              <w:left w:type="dxa" w:w="120"/>
              <w:bottom w:type="dxa" w:w="60"/>
              <w:right w:type="dxa" w:w="120"/>
            </w:tcMar>
          </w:tcPr>
          <w:p>
            <w:r>
              <w:rPr>
                <w:rFonts w:ascii="Calibri" w:eastAsia="Microsoft YaHei"/>
                <w:b/>
                <w:bCs/>
                <w:color w:val="FFFFFF"/>
                <w:sz w:val="21"/>
                <w:szCs w:val="21"/>
              </w:rPr>
              <w:t xml:space="preserve">Fase</w:t>
            </w:r>
          </w:p>
        </w:tc>
        <w:tc>
          <w:tcPr>
            <w:tcW w:type="pct" w:w="42%"/>
            <w:shd w:fill="1B6B7A" w:val="clear"/>
            <w:tcMar>
              <w:top w:type="dxa" w:w="60"/>
              <w:left w:type="dxa" w:w="120"/>
              <w:bottom w:type="dxa" w:w="60"/>
              <w:right w:type="dxa" w:w="120"/>
            </w:tcMar>
          </w:tcPr>
          <w:p>
            <w:r>
              <w:rPr>
                <w:rFonts w:ascii="Calibri" w:eastAsia="Microsoft YaHei"/>
                <w:b/>
                <w:bCs/>
                <w:color w:val="FFFFFF"/>
                <w:sz w:val="21"/>
                <w:szCs w:val="21"/>
              </w:rPr>
              <w:t xml:space="preserve">Milestone Clave</w:t>
            </w:r>
          </w:p>
        </w:tc>
        <w:tc>
          <w:tcPr>
            <w:tcW w:type="pct" w:w="40%"/>
            <w:shd w:fill="1B6B7A" w:val="clear"/>
            <w:tcMar>
              <w:top w:type="dxa" w:w="60"/>
              <w:left w:type="dxa" w:w="120"/>
              <w:bottom w:type="dxa" w:w="60"/>
              <w:right w:type="dxa" w:w="120"/>
            </w:tcMar>
          </w:tcPr>
          <w:p>
            <w:r>
              <w:rPr>
                <w:rFonts w:ascii="Calibri" w:eastAsia="Microsoft YaHei"/>
                <w:b/>
                <w:bCs/>
                <w:color w:val="FFFFFF"/>
                <w:sz w:val="21"/>
                <w:szCs w:val="21"/>
              </w:rPr>
              <w:t xml:space="preserve">Dependencias</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0</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MongoDB + Redis + API v1 completados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Ninguna</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0</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RBAC granular + MFA implementados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v1</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0</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Docker + CI/CD + WhatsApp + xmltodict</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RBAC, Docker</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SSO SAML 2.0 con Okta/Azure AD</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RBAC granular</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SSO OIDC + Keycloak embebido</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SAML 2.0</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6</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Multi-tenancy hibrido operativo</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SSO</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7</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Ejecucion duradera + OpenTelemetry v1</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Multi-tenancy</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8</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2</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Connector SDK + zenic-cli v1.0</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Ejecucion duradera</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9</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2</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v2 FastAPI (50+ endpoints)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SDK</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10</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2</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Marketplace v1 + 20 conectores certificados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v2, SDK</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11</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2</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35 conectores nuevos + dev docs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Marketplace</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12</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3</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AI Agent Framework v1.0</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SDK, OpenTelemetry</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13</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3</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Multi-Agent Patterns (4 patrones)</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Agent Framework</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14</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3</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Token/Cost Tracking + BPMN import/export</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Multi-Agent</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15</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3</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Templates Marketplace + SOC 2 Type I audit</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Tracking, BPMN</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16</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4</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Type II + GDPR implementation</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Type I</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17</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4</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K8s Helm + multi-region + DR</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GDPR</w:t>
            </w:r>
          </w:p>
        </w:tc>
      </w:tr>
      <w:tr>
        <w:trPr>
          <w:cantSplit/>
        </w:trPr>
        <w:tc>
          <w:tcPr>
            <w:tcW w:type="pct" w:w="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18</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4</w:t>
            </w:r>
          </w:p>
        </w:tc>
        <w:tc>
          <w:tcPr>
            <w:tcW w:type="pct" w:w="4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Cloud marketplaces + LATAM localization</w:t>
            </w:r>
          </w:p>
        </w:tc>
        <w:tc>
          <w:tcPr>
            <w:tcW w:type="pct" w:w="4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K8s, Compliance</w:t>
            </w:r>
          </w:p>
        </w:tc>
      </w:tr>
    </w:tbl>
    <w:p>
      <w:pPr>
        <w:spacing w:before="120"/>
      </w:pPr>
    </w:p>
    <w:p>
      <w:pPr>
        <w:pStyle w:val="Heading2"/>
        <w:spacing w:after="120" w:before="280" w:line="312"/>
      </w:pPr>
      <w:bookmarkStart w:id="100042" w:name="_Toc100042"/>
      <w:r>
        <w:rPr>
          <w:rFonts w:ascii="Calibri" w:eastAsia="SimHei"/>
          <w:b/>
          <w:bCs/>
          <w:color w:val="162235"/>
          <w:sz w:val="28"/>
          <w:szCs w:val="28"/>
        </w:rPr>
        <w:t xml:space="preserve">5.2 Dependencias Criticas entre Fases</w:t>
      </w:r>
      <w:bookmarkEnd w:id="100042"/>
    </w:p>
    <w:p>
      <w:pPr>
        <w:spacing w:after="80" w:line="312"/>
        <w:ind w:firstLine="480"/>
        <w:jc w:val="both"/>
      </w:pPr>
      <w:r>
        <w:rPr>
          <w:rFonts w:ascii="Calibri" w:eastAsia="Microsoft YaHei"/>
          <w:color w:val="000000"/>
          <w:sz w:val="24"/>
          <w:szCs w:val="24"/>
        </w:rPr>
        <w:t xml:space="preserve">Las fases tienen dependencias secuenciales estrictas que no pueden paralelizarse: la Fase 1 requiere RBAC granular (Fase 0) para implementar SSO; la Fase 2 requiere ejecucion duradera (Fase 1) para que el SDK de conectores pueda garantizar comportamiento consistente; la Fase 3 requiere el SDK (Fase 2) para que los agentes puedan invocar conectores como herramientas; y la Fase 4 requiere SOC 2 Type I (Fase 3) para iniciar la auditoria Type II de 12 meses. Sin embargo, dentro de cada fase, multiples workstreams pueden ejecutarse en paralelo. Por ejemplo, en la Fase 2, el desarrollo del SDK y la expansion de conectores pueden avanzar simultaneamente una vez definida la interface del conector base.</w:t>
      </w:r>
    </w:p>
    <w:p>
      <w:pPr>
        <w:spacing w:before="120"/>
      </w:pPr>
    </w:p>
    <w:p>
      <w:pPr>
        <w:pStyle w:val="Heading1"/>
        <w:spacing w:after="160" w:before="360" w:line="312"/>
      </w:pPr>
      <w:bookmarkStart w:id="100043" w:name="_Toc100043"/>
      <w:r>
        <w:rPr>
          <w:rFonts w:ascii="Calibri" w:eastAsia="SimHei"/>
          <w:b/>
          <w:bCs/>
          <w:color w:val="162235"/>
          <w:sz w:val="32"/>
          <w:szCs w:val="32"/>
        </w:rPr>
        <w:t xml:space="preserve">6. Requisitos de Recursos y Presupuesto</w:t>
      </w:r>
      <w:bookmarkEnd w:id="100043"/>
    </w:p>
    <w:p>
      <w:pPr>
        <w:pStyle w:val="Heading2"/>
        <w:spacing w:after="120" w:before="280" w:line="312"/>
      </w:pPr>
      <w:bookmarkStart w:id="100044" w:name="_Toc100044"/>
      <w:r>
        <w:rPr>
          <w:rFonts w:ascii="Calibri" w:eastAsia="SimHei"/>
          <w:b/>
          <w:bCs/>
          <w:color w:val="162235"/>
          <w:sz w:val="28"/>
          <w:szCs w:val="28"/>
        </w:rPr>
        <w:t xml:space="preserve">6.1 Equipo Recomendado</w:t>
      </w:r>
      <w:bookmarkEnd w:id="10004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Rol</w:t>
            </w:r>
          </w:p>
        </w:tc>
        <w:tc>
          <w:tcPr>
            <w:tcW w:type="pct" w:w="10%"/>
            <w:shd w:fill="1B6B7A" w:val="clear"/>
            <w:tcMar>
              <w:top w:type="dxa" w:w="60"/>
              <w:left w:type="dxa" w:w="120"/>
              <w:bottom w:type="dxa" w:w="60"/>
              <w:right w:type="dxa" w:w="120"/>
            </w:tcMar>
          </w:tcPr>
          <w:p>
            <w:r>
              <w:rPr>
                <w:rFonts w:ascii="Calibri" w:eastAsia="Microsoft YaHei"/>
                <w:b/>
                <w:bCs/>
                <w:color w:val="FFFFFF"/>
                <w:sz w:val="21"/>
                <w:szCs w:val="21"/>
              </w:rPr>
              <w:t xml:space="preserve">Cantidad</w:t>
            </w:r>
          </w:p>
        </w:tc>
        <w:tc>
          <w:tcPr>
            <w:tcW w:type="pct" w:w="10%"/>
            <w:shd w:fill="1B6B7A" w:val="clear"/>
            <w:tcMar>
              <w:top w:type="dxa" w:w="60"/>
              <w:left w:type="dxa" w:w="120"/>
              <w:bottom w:type="dxa" w:w="60"/>
              <w:right w:type="dxa" w:w="120"/>
            </w:tcMar>
          </w:tcPr>
          <w:p>
            <w:r>
              <w:rPr>
                <w:rFonts w:ascii="Calibri" w:eastAsia="Microsoft YaHei"/>
                <w:b/>
                <w:bCs/>
                <w:color w:val="FFFFFF"/>
                <w:sz w:val="21"/>
                <w:szCs w:val="21"/>
              </w:rPr>
              <w:t xml:space="preserve">Fase</w:t>
            </w:r>
          </w:p>
        </w:tc>
        <w:tc>
          <w:tcPr>
            <w:tcW w:type="pct" w:w="58%"/>
            <w:shd w:fill="1B6B7A" w:val="clear"/>
            <w:tcMar>
              <w:top w:type="dxa" w:w="60"/>
              <w:left w:type="dxa" w:w="120"/>
              <w:bottom w:type="dxa" w:w="60"/>
              <w:right w:type="dxa" w:w="120"/>
            </w:tcMar>
          </w:tcPr>
          <w:p>
            <w:r>
              <w:rPr>
                <w:rFonts w:ascii="Calibri" w:eastAsia="Microsoft YaHei"/>
                <w:b/>
                <w:bCs/>
                <w:color w:val="FFFFFF"/>
                <w:sz w:val="21"/>
                <w:szCs w:val="21"/>
              </w:rPr>
              <w:t xml:space="preserve">Responsabilidades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Tech Lead / Architect</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Diseno de arquitectura, revision de PRs, decisiones tecnicas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Backend Senior (Python)</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2-3</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Motor duradero, SSO, multi-tenancy, conectores</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Backend Mid (Python)</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1-2</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Conectores, SDK, CLI, API v2</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DevOps / SRE</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Docker, CI/CD, K8s, observabilidad</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Frontend (JS/React)</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Marketplace UI, dashboard observabilidad, i18n</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Security Engineer</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GDPR, HIPAA, penetration testing</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Technical Writer</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 (part-time)</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docs, tutoriales, guias de onboarding</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QA Engineer</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0-4</w:t>
            </w:r>
          </w:p>
        </w:tc>
        <w:tc>
          <w:tcPr>
            <w:tcW w:type="pct" w:w="5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Test automation, certificacion de conectores</w:t>
            </w:r>
          </w:p>
        </w:tc>
      </w:tr>
    </w:tbl>
    <w:p>
      <w:pPr>
        <w:spacing w:before="120"/>
      </w:pPr>
    </w:p>
    <w:p>
      <w:pPr>
        <w:pStyle w:val="Heading2"/>
        <w:spacing w:after="120" w:before="280" w:line="312"/>
      </w:pPr>
      <w:bookmarkStart w:id="100045" w:name="_Toc100045"/>
      <w:r>
        <w:rPr>
          <w:rFonts w:ascii="Calibri" w:eastAsia="SimHei"/>
          <w:b/>
          <w:bCs/>
          <w:color w:val="162235"/>
          <w:sz w:val="28"/>
          <w:szCs w:val="28"/>
        </w:rPr>
        <w:t xml:space="preserve">6.2 Estimacion de Esfuerzo por Fase</w:t>
      </w:r>
      <w:bookmarkEnd w:id="10004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2%"/>
            <w:shd w:fill="1B6B7A" w:val="clear"/>
            <w:tcMar>
              <w:top w:type="dxa" w:w="60"/>
              <w:left w:type="dxa" w:w="120"/>
              <w:bottom w:type="dxa" w:w="60"/>
              <w:right w:type="dxa" w:w="120"/>
            </w:tcMar>
          </w:tcPr>
          <w:p>
            <w:r>
              <w:rPr>
                <w:rFonts w:ascii="Calibri" w:eastAsia="Microsoft YaHei"/>
                <w:b/>
                <w:bCs/>
                <w:color w:val="FFFFFF"/>
                <w:sz w:val="21"/>
                <w:szCs w:val="21"/>
              </w:rPr>
              <w:t xml:space="preserve">Fase</w:t>
            </w:r>
          </w:p>
        </w:tc>
        <w:tc>
          <w:tcPr>
            <w:tcW w:type="pct" w:w="15%"/>
            <w:shd w:fill="1B6B7A" w:val="clear"/>
            <w:tcMar>
              <w:top w:type="dxa" w:w="60"/>
              <w:left w:type="dxa" w:w="120"/>
              <w:bottom w:type="dxa" w:w="60"/>
              <w:right w:type="dxa" w:w="120"/>
            </w:tcMar>
          </w:tcPr>
          <w:p>
            <w:r>
              <w:rPr>
                <w:rFonts w:ascii="Calibri" w:eastAsia="Microsoft YaHei"/>
                <w:b/>
                <w:bCs/>
                <w:color w:val="FFFFFF"/>
                <w:sz w:val="21"/>
                <w:szCs w:val="21"/>
              </w:rPr>
              <w:t xml:space="preserve">Duracion</w:t>
            </w:r>
          </w:p>
        </w:tc>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Personas-Mes</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Complejidad</w:t>
            </w:r>
          </w:p>
        </w:tc>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Riesgo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0: Fundacion</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 meses</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12-15 pm</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Media</w:t>
            </w:r>
          </w:p>
        </w:tc>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Bajo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 Core Enterprise</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 meses</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24-30 pm</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2: Platform &amp; DevEx</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 meses</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20-25 pm</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3: AI &amp; Marketplace</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4 meses</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18-22 pm</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Muy Alta</w:t>
            </w:r>
          </w:p>
        </w:tc>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4: Escala Global</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 meses</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12-15 pm</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Medio</w:t>
            </w:r>
          </w:p>
        </w:tc>
      </w:tr>
      <w:tr>
        <w:trPr>
          <w:cantSplit/>
        </w:trPr>
        <w:tc>
          <w:tcPr>
            <w:tcW w:type="pct" w:w="2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TOTAL</w:t>
            </w:r>
          </w:p>
        </w:tc>
        <w:tc>
          <w:tcPr>
            <w:tcW w:type="pct" w:w="1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18 meses</w:t>
            </w:r>
          </w:p>
        </w:tc>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86-107 pm</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
            </w:r>
          </w:p>
        </w:tc>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
            </w:r>
          </w:p>
        </w:tc>
      </w:tr>
    </w:tbl>
    <w:p>
      <w:pPr>
        <w:spacing w:before="120"/>
      </w:pPr>
    </w:p>
    <w:p>
      <w:pPr>
        <w:pStyle w:val="Heading2"/>
        <w:spacing w:after="120" w:before="280" w:line="312"/>
      </w:pPr>
      <w:bookmarkStart w:id="100046" w:name="_Toc100046"/>
      <w:r>
        <w:rPr>
          <w:rFonts w:ascii="Calibri" w:eastAsia="SimHei"/>
          <w:b/>
          <w:bCs/>
          <w:color w:val="162235"/>
          <w:sz w:val="28"/>
          <w:szCs w:val="28"/>
        </w:rPr>
        <w:t xml:space="preserve">6.3 Stack Tecnologico Adicional Requerido</w:t>
      </w:r>
      <w:bookmarkEnd w:id="10004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Categoria</w:t>
            </w:r>
          </w:p>
        </w:tc>
        <w:tc>
          <w:tcPr>
            <w:tcW w:type="pct" w:w="28%"/>
            <w:shd w:fill="1B6B7A" w:val="clear"/>
            <w:tcMar>
              <w:top w:type="dxa" w:w="60"/>
              <w:left w:type="dxa" w:w="120"/>
              <w:bottom w:type="dxa" w:w="60"/>
              <w:right w:type="dxa" w:w="120"/>
            </w:tcMar>
          </w:tcPr>
          <w:p>
            <w:r>
              <w:rPr>
                <w:rFonts w:ascii="Calibri" w:eastAsia="Microsoft YaHei"/>
                <w:b/>
                <w:bCs/>
                <w:color w:val="FFFFFF"/>
                <w:sz w:val="21"/>
                <w:szCs w:val="21"/>
              </w:rPr>
              <w:t xml:space="preserve">Tecnologia</w:t>
            </w:r>
          </w:p>
        </w:tc>
        <w:tc>
          <w:tcPr>
            <w:tcW w:type="pct" w:w="34%"/>
            <w:shd w:fill="1B6B7A" w:val="clear"/>
            <w:tcMar>
              <w:top w:type="dxa" w:w="60"/>
              <w:left w:type="dxa" w:w="120"/>
              <w:bottom w:type="dxa" w:w="60"/>
              <w:right w:type="dxa" w:w="120"/>
            </w:tcMar>
          </w:tcPr>
          <w:p>
            <w:r>
              <w:rPr>
                <w:rFonts w:ascii="Calibri" w:eastAsia="Microsoft YaHei"/>
                <w:b/>
                <w:bCs/>
                <w:color w:val="FFFFFF"/>
                <w:sz w:val="21"/>
                <w:szCs w:val="21"/>
              </w:rPr>
              <w:t xml:space="preserve">Uso</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Prioridad</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Autenticacion</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Keycloak</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IdP embebido para SSO SAML/OIDC</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Cache/Sessions</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Redis 7+</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Cache, PubSub, sesiones multi-tenant</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0</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Documentos</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MongoDB 7+</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Workflows complejos, datos NLU</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0</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Observabilidad</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OpenTelemetry + Prometheus + Grafana</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Metrics, tracing, dashboards</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Tracing</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Jaeger o Tempo</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Distributed tracing backend</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Orquestacion</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Kubernetes + Helm</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Auto-scaling, multi-region</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4</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Messaging</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NATS o RabbitMQ</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Comunicacion entre workers, event streaming</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Vectores IA</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Qdrant o Milvus</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Knowledge base para agentes IA</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3</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Gateway</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Kong o Traefik</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Rate limiting, auth, routing</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2</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Secrets</w:t>
            </w:r>
          </w:p>
        </w:tc>
        <w:tc>
          <w:tcPr>
            <w:tcW w:type="pct" w:w="2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HashiCorp Vault</w:t>
            </w:r>
          </w:p>
        </w:tc>
        <w:tc>
          <w:tcPr>
            <w:tcW w:type="pct" w:w="34%"/>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Gestion de secretos y BYOK</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Fase 1</w:t>
            </w:r>
          </w:p>
        </w:tc>
      </w:tr>
    </w:tbl>
    <w:p>
      <w:pPr>
        <w:spacing w:before="120"/>
      </w:pPr>
    </w:p>
    <w:p>
      <w:pPr>
        <w:pStyle w:val="Heading1"/>
        <w:spacing w:after="160" w:before="360" w:line="312"/>
      </w:pPr>
      <w:bookmarkStart w:id="100047" w:name="_Toc100047"/>
      <w:r>
        <w:rPr>
          <w:rFonts w:ascii="Calibri" w:eastAsia="SimHei"/>
          <w:b/>
          <w:bCs/>
          <w:color w:val="162235"/>
          <w:sz w:val="32"/>
          <w:szCs w:val="32"/>
        </w:rPr>
        <w:t xml:space="preserve">7. Analisis de Riesgos y Mitigacion</w:t>
      </w:r>
      <w:bookmarkEnd w:id="100047"/>
    </w:p>
    <w:p>
      <w:pPr>
        <w:spacing w:after="80" w:line="312"/>
        <w:ind w:firstLine="480"/>
        <w:jc w:val="both"/>
      </w:pPr>
      <w:r>
        <w:rPr>
          <w:rFonts w:ascii="Calibri" w:eastAsia="Microsoft YaHei"/>
          <w:color w:val="000000"/>
          <w:sz w:val="24"/>
          <w:szCs w:val="24"/>
        </w:rPr>
        <w:t xml:space="preserve">Toda implementacion de esta envergadura conlleva riesgos significativos que deben gestionarse proactivamente. El siguiente analisis identifica los riesgos mas probables y de mayor impacto, junto con estrategias de mitigacion especificas y planes de contingencia para cada uno:</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Riesgo</w:t>
            </w:r>
          </w:p>
        </w:tc>
        <w:tc>
          <w:tcPr>
            <w:tcW w:type="pct" w:w="10%"/>
            <w:shd w:fill="1B6B7A" w:val="clear"/>
            <w:tcMar>
              <w:top w:type="dxa" w:w="60"/>
              <w:left w:type="dxa" w:w="120"/>
              <w:bottom w:type="dxa" w:w="60"/>
              <w:right w:type="dxa" w:w="120"/>
            </w:tcMar>
          </w:tcPr>
          <w:p>
            <w:r>
              <w:rPr>
                <w:rFonts w:ascii="Calibri" w:eastAsia="Microsoft YaHei"/>
                <w:b/>
                <w:bCs/>
                <w:color w:val="FFFFFF"/>
                <w:sz w:val="21"/>
                <w:szCs w:val="21"/>
              </w:rPr>
              <w:t xml:space="preserve">Probabilidad</w:t>
            </w:r>
          </w:p>
        </w:tc>
        <w:tc>
          <w:tcPr>
            <w:tcW w:type="pct" w:w="10%"/>
            <w:shd w:fill="1B6B7A" w:val="clear"/>
            <w:tcMar>
              <w:top w:type="dxa" w:w="60"/>
              <w:left w:type="dxa" w:w="120"/>
              <w:bottom w:type="dxa" w:w="60"/>
              <w:right w:type="dxa" w:w="120"/>
            </w:tcMar>
          </w:tcPr>
          <w:p>
            <w:r>
              <w:rPr>
                <w:rFonts w:ascii="Calibri" w:eastAsia="Microsoft YaHei"/>
                <w:b/>
                <w:bCs/>
                <w:color w:val="FFFFFF"/>
                <w:sz w:val="21"/>
                <w:szCs w:val="21"/>
              </w:rPr>
              <w:t xml:space="preserve">Impacto</w:t>
            </w:r>
          </w:p>
        </w:tc>
        <w:tc>
          <w:tcPr>
            <w:tcW w:type="pct" w:w="30%"/>
            <w:shd w:fill="1B6B7A" w:val="clear"/>
            <w:tcMar>
              <w:top w:type="dxa" w:w="60"/>
              <w:left w:type="dxa" w:w="120"/>
              <w:bottom w:type="dxa" w:w="60"/>
              <w:right w:type="dxa" w:w="120"/>
            </w:tcMar>
          </w:tcPr>
          <w:p>
            <w:r>
              <w:rPr>
                <w:rFonts w:ascii="Calibri" w:eastAsia="Microsoft YaHei"/>
                <w:b/>
                <w:bCs/>
                <w:color w:val="FFFFFF"/>
                <w:sz w:val="21"/>
                <w:szCs w:val="21"/>
              </w:rPr>
              <w:t xml:space="preserve">Mitigacion</w:t>
            </w:r>
          </w:p>
        </w:tc>
        <w:tc>
          <w:tcPr>
            <w:tcW w:type="pct" w:w="30%"/>
            <w:shd w:fill="1B6B7A" w:val="clear"/>
            <w:tcMar>
              <w:top w:type="dxa" w:w="60"/>
              <w:left w:type="dxa" w:w="120"/>
              <w:bottom w:type="dxa" w:w="60"/>
              <w:right w:type="dxa" w:w="120"/>
            </w:tcMar>
          </w:tcPr>
          <w:p>
            <w:r>
              <w:rPr>
                <w:rFonts w:ascii="Calibri" w:eastAsia="Microsoft YaHei"/>
                <w:b/>
                <w:bCs/>
                <w:color w:val="FFFFFF"/>
                <w:sz w:val="21"/>
                <w:szCs w:val="21"/>
              </w:rPr>
              <w:t xml:space="preserve">Contingencia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Complejidad de ejecucion duradera: el event-sourcing agrega overhead significativo y puede afectar latencia</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Critico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Prototipar en Fase 0 con benchmarks; definir SLA de latencia antes de implementar</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Fallback a checkpointing simple si event-sourcing excede 50ms de overhead por step</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Multi-tenancy rompe aislamiento: bug de cross-tenant data leak</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Media</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Critico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Tests de penetracion por tenant; audit automatizado de queries; row-level security en DB</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Activar modo de base de datos dedicada para todos los tenants temporalmente</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Adopcion lenta del marketplace: pocos conectores de terceros</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Construir 50+ conectores internos como base; ofrecer grants financieros a primeros desarrolladores</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Extender el equipo interno de conectores; priorizar conectores mas demandados</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Costos de IA exceden presupuestos de clientes</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Media</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Tracking granular desde Fase 3; presupuestos con auto-bloqueo; modelos locales (Ollama) como alternativa gratuita</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Ofrecer tier de IA con credito mensual incluido; priorizar modelos open-source</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 Type II falla auditoria: controles insuficientes</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Baja</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Critico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Iniciar preparacion en Fase 2; contratar consultor de compliance; auditoria Type I como dry run</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Extender timeline 3-6 meses; implementar controles faltantes y repetir auditoria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Equipo insuficiente para paralelizar fases</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Alta</w:t>
            </w:r>
          </w:p>
        </w:tc>
        <w:tc>
          <w:tcPr>
            <w:tcW w:type="pct" w:w="1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Alto</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Contratar progresivamente; priorizar MVP por fase; usar open-source contributors para conectores</w:t>
            </w:r>
          </w:p>
        </w:tc>
        <w:tc>
          <w:tcPr>
            <w:tcW w:type="pct" w:w="3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Extender timeline total; reducir ambito por fase manteniendo calidad</w:t>
            </w:r>
          </w:p>
        </w:tc>
      </w:tr>
    </w:tbl>
    <w:p>
      <w:pPr>
        <w:spacing w:before="120"/>
      </w:pPr>
    </w:p>
    <w:p>
      <w:pPr>
        <w:pStyle w:val="Heading2"/>
        <w:spacing w:after="120" w:before="280" w:line="312"/>
      </w:pPr>
      <w:bookmarkStart w:id="100048" w:name="_Toc100048"/>
      <w:r>
        <w:rPr>
          <w:rFonts w:ascii="Calibri" w:eastAsia="SimHei"/>
          <w:b/>
          <w:bCs/>
          <w:color w:val="162235"/>
          <w:sz w:val="28"/>
          <w:szCs w:val="28"/>
        </w:rPr>
        <w:t xml:space="preserve">7.1 Estrategia de Rollback por Fase</w:t>
      </w:r>
      <w:bookmarkEnd w:id="100048"/>
    </w:p>
    <w:p>
      <w:pPr>
        <w:spacing w:after="80" w:line="312"/>
        <w:ind w:firstLine="480"/>
        <w:jc w:val="both"/>
      </w:pPr>
      <w:r>
        <w:rPr>
          <w:rFonts w:ascii="Calibri" w:eastAsia="Microsoft YaHei"/>
          <w:color w:val="000000"/>
          <w:sz w:val="24"/>
          <w:szCs w:val="24"/>
        </w:rPr>
        <w:t xml:space="preserve">Cada fase debe implementarse con capacidad de rollback que permita revertir cambios sin afectar la operacion existente. Para la Fase 0 (RBAC, MFA), mantener el sistema de 3 roles como fallback con un feature flag. Para la Fase 1 (multi-tenancy), usar el modo single-tenant como fallback con feature flag por tenant. Para la ejecucion duradera, mantener el modo en-memoria actual como fallback configurable por workflow. Para la API v2, mantener la API v1 Flask operativa en paralelo con redireccion. Cada nuevo subsistema se agrega como un modulo opcional que se activa via configuracion, permitiendo adopcion gradual sin riesgo de regression en la funcionalidad existente.</w:t>
      </w:r>
    </w:p>
    <w:p>
      <w:pPr>
        <w:spacing w:before="120"/>
      </w:pPr>
    </w:p>
    <w:p>
      <w:pPr>
        <w:pStyle w:val="Heading1"/>
        <w:spacing w:after="160" w:before="360" w:line="312"/>
      </w:pPr>
      <w:bookmarkStart w:id="100049" w:name="_Toc100049"/>
      <w:r>
        <w:rPr>
          <w:rFonts w:ascii="Calibri" w:eastAsia="SimHei"/>
          <w:b/>
          <w:bCs/>
          <w:color w:val="162235"/>
          <w:sz w:val="32"/>
          <w:szCs w:val="32"/>
        </w:rPr>
        <w:t xml:space="preserve">8. Beneficios Esperados y Evaluacion</w:t>
      </w:r>
      <w:bookmarkEnd w:id="100049"/>
    </w:p>
    <w:p>
      <w:pPr>
        <w:pStyle w:val="Heading2"/>
        <w:spacing w:after="120" w:before="280" w:line="312"/>
      </w:pPr>
      <w:bookmarkStart w:id="100050" w:name="_Toc100050"/>
      <w:r>
        <w:rPr>
          <w:rFonts w:ascii="Calibri" w:eastAsia="SimHei"/>
          <w:b/>
          <w:bCs/>
          <w:color w:val="162235"/>
          <w:sz w:val="28"/>
          <w:szCs w:val="28"/>
        </w:rPr>
        <w:t xml:space="preserve">8.1 Beneficios Cuantificables</w:t>
      </w:r>
      <w:bookmarkEnd w:id="10005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eastAsia="Microsoft YaHei"/>
                <w:b/>
                <w:bCs/>
                <w:color w:val="FFFFFF"/>
                <w:sz w:val="21"/>
                <w:szCs w:val="21"/>
              </w:rPr>
              <w:t xml:space="preserve">Beneficio</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Metrica Base (Actual)</w:t>
            </w:r>
          </w:p>
        </w:tc>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Meta Fase 4</w:t>
            </w:r>
          </w:p>
        </w:tc>
        <w:tc>
          <w:tcPr>
            <w:tcW w:type="pct" w:w="35%"/>
            <w:shd w:fill="1B6B7A" w:val="clear"/>
            <w:tcMar>
              <w:top w:type="dxa" w:w="60"/>
              <w:left w:type="dxa" w:w="120"/>
              <w:bottom w:type="dxa" w:w="60"/>
              <w:right w:type="dxa" w:w="120"/>
            </w:tcMar>
          </w:tcPr>
          <w:p>
            <w:r>
              <w:rPr>
                <w:rFonts w:ascii="Calibri" w:eastAsia="Microsoft YaHei"/>
                <w:b/>
                <w:bCs/>
                <w:color w:val="FFFFFF"/>
                <w:sz w:val="21"/>
                <w:szCs w:val="21"/>
              </w:rPr>
              <w:t xml:space="preserve">Impacto</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Conectores disponibles</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10</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500+</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50x expansion del ecosistema</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Clientes enterprise</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50+</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Nuevo segmento de ingresos</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Uptime garantizado</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 SLA</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99.99%</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Requisito enterprise cumplido</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Tiempo de onboarding developer</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N/A</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&lt;15 minutos</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Reduccion de friccion</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Workflows duraderos</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 (se pierden en crash)</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100% (sobreviven crash)</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Confiabilidad enterprise</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Mercados LATAM cubiertos</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1 (espanol generico)</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 (BR, MX, CO, CL, AR)</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5x cobertura regional</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Certificaciones compliance</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3 (SOC2, GDPR, HIPAA)</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Acceso a sectores regulados</w:t>
            </w:r>
          </w:p>
        </w:tc>
      </w:tr>
      <w:tr>
        <w:trPr>
          <w:cantSplit/>
        </w:trPr>
        <w:tc>
          <w:tcPr>
            <w:tcW w:type="pct" w:w="2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Conectores de terceros</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0</w:t>
            </w:r>
          </w:p>
        </w:tc>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250+ (community)</w:t>
            </w:r>
          </w:p>
        </w:tc>
        <w:tc>
          <w:tcPr>
            <w:tcW w:type="pct" w:w="35%"/>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Crecimiento organico</w:t>
            </w:r>
          </w:p>
        </w:tc>
      </w:tr>
    </w:tbl>
    <w:p>
      <w:pPr>
        <w:spacing w:before="120"/>
      </w:pPr>
    </w:p>
    <w:p>
      <w:pPr>
        <w:pStyle w:val="Heading2"/>
        <w:spacing w:after="120" w:before="280" w:line="312"/>
      </w:pPr>
      <w:bookmarkStart w:id="100051" w:name="_Toc100051"/>
      <w:r>
        <w:rPr>
          <w:rFonts w:ascii="Calibri" w:eastAsia="SimHei"/>
          <w:b/>
          <w:bCs/>
          <w:color w:val="162235"/>
          <w:sz w:val="28"/>
          <w:szCs w:val="28"/>
        </w:rPr>
        <w:t xml:space="preserve">8.2 Ventajas Competitivas Unicas</w:t>
      </w:r>
      <w:bookmarkEnd w:id="100051"/>
    </w:p>
    <w:p>
      <w:pPr>
        <w:spacing w:after="80" w:line="312"/>
        <w:ind w:firstLine="480"/>
        <w:jc w:val="both"/>
      </w:pPr>
      <w:r>
        <w:rPr>
          <w:rFonts w:ascii="Calibri" w:eastAsia="Microsoft YaHei"/>
          <w:color w:val="000000"/>
          <w:sz w:val="24"/>
          <w:szCs w:val="24"/>
        </w:rPr>
        <w:t xml:space="preserve">Tras la implementacion completa del plan, Zenic-Flijo dispondra de un conjunto de ventajas competitivas que ningun otro jugador del mercado ofrece de forma combinada:</w:t>
      </w:r>
    </w:p>
    <w:p>
      <w:pPr>
        <w:pStyle w:val="ListParagraph"/>
        <w:numPr>
          <w:ilvl w:val="0"/>
          <w:numId w:val="3"/>
        </w:numPr>
        <w:spacing w:after="40" w:line="312"/>
      </w:pPr>
      <w:r>
        <w:rPr>
          <w:rFonts w:ascii="Calibri" w:eastAsia="Microsoft YaHei"/>
          <w:color w:val="000000"/>
          <w:sz w:val="24"/>
          <w:szCs w:val="24"/>
        </w:rPr>
        <w:t xml:space="preserve">Motor Orbital Determinista: unico en el mercado, proporciona un ciclo de retroalimentacion circular (OVC-TOR-RCC-COD-Espectro) que permite auto-optimizacion y auto-correccion de workflows en tiempo real, una capacidad que las plataformas lineales (n8n, Zapier) no pueden replicar</w:t>
      </w:r>
    </w:p>
    <w:p>
      <w:pPr>
        <w:pStyle w:val="ListParagraph"/>
        <w:numPr>
          <w:ilvl w:val="0"/>
          <w:numId w:val="3"/>
        </w:numPr>
        <w:spacing w:after="40" w:line="312"/>
      </w:pPr>
      <w:r>
        <w:rPr>
          <w:rFonts w:ascii="Calibri" w:eastAsia="Microsoft YaHei"/>
          <w:color w:val="000000"/>
          <w:sz w:val="24"/>
          <w:szCs w:val="24"/>
        </w:rPr>
        <w:t xml:space="preserve">NLU Bilingue Nativo: pipeline de 13 etapas con soporte nativo espanol-ingles, incluyendo deteccion de idioma, enrutamiento bilingue, y aprendizaje de sinonimos — la unica plataforma de automatizacion con NLU determinista integrado, no dependiente de llamadas API a LLMs para cada comprension</w:t>
      </w:r>
    </w:p>
    <w:p>
      <w:pPr>
        <w:pStyle w:val="ListParagraph"/>
        <w:numPr>
          <w:ilvl w:val="0"/>
          <w:numId w:val="3"/>
        </w:numPr>
        <w:spacing w:after="40" w:line="312"/>
      </w:pPr>
      <w:r>
        <w:rPr>
          <w:rFonts w:ascii="Calibri" w:eastAsia="Microsoft YaHei"/>
          <w:color w:val="000000"/>
          <w:sz w:val="24"/>
          <w:szCs w:val="24"/>
        </w:rPr>
        <w:t xml:space="preserve">Fallback Determinista-AI: la capacidad de degradar automaticamente de IA a ejecucion determinista cuando la confianza es baja, proporcionando la velocidad de IA cuando es confiable y la seguridad de lo determinista cuando no lo es — ningun competidor ofrece esta hibridacion nativa</w:t>
      </w:r>
    </w:p>
    <w:p>
      <w:pPr>
        <w:pStyle w:val="ListParagraph"/>
        <w:numPr>
          <w:ilvl w:val="0"/>
          <w:numId w:val="3"/>
        </w:numPr>
        <w:spacing w:after="40" w:line="312"/>
      </w:pPr>
      <w:r>
        <w:rPr>
          <w:rFonts w:ascii="Calibri" w:eastAsia="Microsoft YaHei"/>
          <w:color w:val="000000"/>
          <w:sz w:val="24"/>
          <w:szCs w:val="24"/>
        </w:rPr>
        <w:t xml:space="preserve">Open Source Enterprise: la combinacion de open source completo con capacidades enterprise (SSO, multi-tenancy, compliance) posiciona a Zenic-Flijo como la alternativa a Camunda/Temporal sin costos de licencia, con la diferenciacion adicional del motor Orbital y NLU que estos no poseen</w:t>
      </w:r>
    </w:p>
    <w:p>
      <w:pPr>
        <w:pStyle w:val="ListParagraph"/>
        <w:numPr>
          <w:ilvl w:val="0"/>
          <w:numId w:val="3"/>
        </w:numPr>
        <w:spacing w:after="40" w:line="312"/>
      </w:pPr>
      <w:r>
        <w:rPr>
          <w:rFonts w:ascii="Calibri" w:eastAsia="Microsoft YaHei"/>
          <w:color w:val="000000"/>
          <w:sz w:val="24"/>
          <w:szCs w:val="24"/>
        </w:rPr>
        <w:t xml:space="preserve">Localizacion LATAM Profunda: integraciones nativas con PIX, SAT, Totvs, AFIP, y compliance LGPD que ningun competidor global ofrece, creando un foso competitivo insalvable en el mercado LATAM de $5.79B+</w:t>
      </w:r>
    </w:p>
    <w:p>
      <w:pPr>
        <w:spacing w:before="120"/>
      </w:pPr>
    </w:p>
    <w:p>
      <w:pPr>
        <w:pStyle w:val="Heading2"/>
        <w:spacing w:after="120" w:before="280" w:line="312"/>
      </w:pPr>
      <w:bookmarkStart w:id="100052" w:name="_Toc100052"/>
      <w:r>
        <w:rPr>
          <w:rFonts w:ascii="Calibri" w:eastAsia="SimHei"/>
          <w:b/>
          <w:bCs/>
          <w:color w:val="162235"/>
          <w:sz w:val="28"/>
          <w:szCs w:val="28"/>
        </w:rPr>
        <w:t xml:space="preserve">8.3 Criterios de Evaluacion Continua</w:t>
      </w:r>
      <w:bookmarkEnd w:id="100052"/>
    </w:p>
    <w:p>
      <w:pPr>
        <w:spacing w:after="80" w:line="312"/>
        <w:ind w:firstLine="480"/>
        <w:jc w:val="both"/>
      </w:pPr>
      <w:r>
        <w:rPr>
          <w:rFonts w:ascii="Calibri" w:eastAsia="Microsoft YaHei"/>
          <w:color w:val="000000"/>
          <w:sz w:val="24"/>
          <w:szCs w:val="24"/>
        </w:rPr>
        <w:t xml:space="preserve">Para garantizar que la implementacion se mantiene en camino y genera valor incremental, se establecen revisiones mensuales con los siguientes criterios: (1) Cada fase debe entregar valor independiente — al cierre de cada fase, la plataforma debe ser mas competitiva que al inicio, sin depender de fases futuras para justificar la inversion; (2) Los KPIs de cada fase se miden contra los baseline establecidos en este documento y se reportan al stakeholder principal; (3) Las decisiones de arquitectura se documentan en ADRs (Architecture Decision Records) que se revisan trimestralmente para detectar deuda tecnica acumulada; y (4) Al final de cada fase, se realiza una retrospectiva que evalua si la estrategia general necesita ajustes antes de continuar con la fase siguiente.</w:t>
      </w:r>
    </w:p>
    <w:p>
      <w:pPr>
        <w:spacing w:before="120"/>
      </w:pPr>
    </w:p>
    <w:p>
      <w:pPr>
        <w:pStyle w:val="Heading1"/>
        <w:spacing w:after="160" w:before="360" w:line="312"/>
      </w:pPr>
      <w:bookmarkStart w:id="100053" w:name="_Toc100053"/>
      <w:r>
        <w:rPr>
          <w:rFonts w:ascii="Calibri" w:eastAsia="SimHei"/>
          <w:b/>
          <w:bCs/>
          <w:color w:val="162235"/>
          <w:sz w:val="32"/>
          <w:szCs w:val="32"/>
        </w:rPr>
        <w:t xml:space="preserve">Apéndice A: Arquitectura de Referencia Post-Implementacion</w:t>
      </w:r>
      <w:bookmarkEnd w:id="100053"/>
    </w:p>
    <w:p>
      <w:pPr>
        <w:spacing w:after="80" w:line="312"/>
        <w:ind w:firstLine="480"/>
        <w:jc w:val="both"/>
      </w:pPr>
      <w:r>
        <w:rPr>
          <w:rFonts w:ascii="Calibri" w:eastAsia="Microsoft YaHei"/>
          <w:color w:val="000000"/>
          <w:sz w:val="24"/>
          <w:szCs w:val="24"/>
        </w:rPr>
        <w:t xml:space="preserve">La arquitectura post-implementacion sigue un modelo de microservicios donde cada componente puede escalar independientemente. El gateway de API (Kong/Traefik) recibe todas las requests y las enruta al servicio correspondiente. El motor de workflows se ejecuta como un cluster de workers con ejecucion duradera respaldada por PostgreSQL (metadata) y Redis (estado en caliente). Los conectores se ejecutan en sandboxes aislados con rate limiting y circuit breaker. Los agentes de IA utilizan Qdrant para vector search y se comunican con proveedores de LLM a traves de un router que balancea entre costo, latencia, y calidad. El sistema de eventos utiliza NATS para mensajeria entre servicios, con persistencia en PostgreSQL para auditoria. Todo se despliega en Kubernetes con Helm charts que permiten despliegue multi-region con un solo comando.</w:t>
      </w:r>
    </w:p>
    <w:p>
      <w:pPr>
        <w:spacing w:before="120"/>
      </w:pPr>
    </w:p>
    <w:p>
      <w:pPr>
        <w:pStyle w:val="Heading1"/>
        <w:spacing w:after="160" w:before="360" w:line="312"/>
      </w:pPr>
      <w:bookmarkStart w:id="100054" w:name="_Toc100054"/>
      <w:r>
        <w:rPr>
          <w:rFonts w:ascii="Calibri" w:eastAsia="SimHei"/>
          <w:b/>
          <w:bCs/>
          <w:color w:val="162235"/>
          <w:sz w:val="32"/>
          <w:szCs w:val="32"/>
        </w:rPr>
        <w:t xml:space="preserve">Apéndice B: Glosario de Terminos</w:t>
      </w:r>
      <w:bookmarkEnd w:id="100054"/>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20%"/>
            <w:shd w:fill="1B6B7A" w:val="clear"/>
            <w:tcMar>
              <w:top w:type="dxa" w:w="60"/>
              <w:left w:type="dxa" w:w="120"/>
              <w:bottom w:type="dxa" w:w="60"/>
              <w:right w:type="dxa" w:w="120"/>
            </w:tcMar>
          </w:tcPr>
          <w:p>
            <w:r>
              <w:rPr>
                <w:rFonts w:ascii="Calibri" w:eastAsia="Microsoft YaHei"/>
                <w:b/>
                <w:bCs/>
                <w:color w:val="FFFFFF"/>
                <w:sz w:val="21"/>
                <w:szCs w:val="21"/>
              </w:rPr>
              <w:t xml:space="preserve">Termino</w:t>
            </w:r>
          </w:p>
        </w:tc>
        <w:tc>
          <w:tcPr>
            <w:tcW w:type="pct" w:w="80%"/>
            <w:shd w:fill="1B6B7A" w:val="clear"/>
            <w:tcMar>
              <w:top w:type="dxa" w:w="60"/>
              <w:left w:type="dxa" w:w="120"/>
              <w:bottom w:type="dxa" w:w="60"/>
              <w:right w:type="dxa" w:w="120"/>
            </w:tcMar>
          </w:tcPr>
          <w:p>
            <w:r>
              <w:rPr>
                <w:rFonts w:ascii="Calibri" w:eastAsia="Microsoft YaHei"/>
                <w:b/>
                <w:bCs/>
                <w:color w:val="FFFFFF"/>
                <w:sz w:val="21"/>
                <w:szCs w:val="21"/>
              </w:rPr>
              <w:t xml:space="preserve">Definicion</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OVC</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Orbital Variable Context — contexto compartido del motor Orbital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TOR</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Time Orbit Resolver — resolucion temporal de eventos orbitales</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RCC</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Resource Control Center — centro de control de recursos del motor Orbital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COD</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Configuration Orchestrator Director — orquestador de configuracion Orbital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Espectro</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Espectro Orbital — analisis espectral del estado del sistema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NLU</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Natural Language Understanding — comprension de lenguaje natural</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iPaaS</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Integration Platform as a Service — plataforma de integracion como servicio</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BYOK</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Bring Your Own Key — cifrado con clave propia del cliente</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BPMN 2.0</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Business Process Model and Notation — estandar ISO 19510 de modelado de procesos</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RBAC/ABAC</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Role/Attribute-Based Access Control — control de acceso basado en roles o atributos</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SSO</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Single Sign-On — inicio de sesion unico</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TOTP</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Time-based One-Time Password — contrasena de un solo uso basada en tiempo</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SOC 2</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System and Organization Controls 2 — estandar de seguridad para SaaS</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HIPAA</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Health Insurance Portability and Accountability Act — regulacion de datos de salud USA</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GDPR</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General Data Protection Regulation — regulacion de proteccion de datos EU</w:t>
            </w:r>
          </w:p>
        </w:tc>
      </w:tr>
      <w:tr>
        <w:trPr>
          <w:cantSplit/>
        </w:trPr>
        <w:tc>
          <w:tcPr>
            <w:tcW w:type="pct" w:w="2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LGPD</w:t>
            </w:r>
          </w:p>
        </w:tc>
        <w:tc>
          <w:tcPr>
            <w:tcW w:type="pct" w:w="80%"/>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Lei Geral de Protecao de Dados — regulacion de proteccion de datos Brasil</w:t>
            </w:r>
          </w:p>
        </w:tc>
      </w:tr>
    </w:tbl>
    <w:p>
      <w:pPr>
        <w:spacing w:before="120"/>
      </w:pPr>
    </w:p>
    <w:p>
      <w:pPr>
        <w:pStyle w:val="Heading1"/>
        <w:spacing w:after="160" w:before="360" w:line="312"/>
      </w:pPr>
      <w:bookmarkStart w:id="100055" w:name="_Toc100055"/>
      <w:r>
        <w:rPr>
          <w:rFonts w:ascii="Calibri" w:eastAsia="SimHei"/>
          <w:b/>
          <w:bCs/>
          <w:color w:val="162235"/>
          <w:sz w:val="32"/>
          <w:szCs w:val="32"/>
        </w:rPr>
        <w:t xml:space="preserve">Apéndice C: Matriz de Decisiones Arquitectonicas</w:t>
      </w:r>
      <w:bookmarkEnd w:id="10005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eastAsia="Microsoft YaHei"/>
                <w:b/>
                <w:bCs/>
                <w:color w:val="FFFFFF"/>
                <w:sz w:val="21"/>
                <w:szCs w:val="21"/>
              </w:rPr>
              <w:t xml:space="preserve">Decision</w:t>
            </w:r>
          </w:p>
        </w:tc>
        <w:tc>
          <w:tcPr>
            <w:tcW w:type="pct" w:w="16%"/>
            <w:shd w:fill="1B6B7A" w:val="clear"/>
            <w:tcMar>
              <w:top w:type="dxa" w:w="60"/>
              <w:left w:type="dxa" w:w="120"/>
              <w:bottom w:type="dxa" w:w="60"/>
              <w:right w:type="dxa" w:w="120"/>
            </w:tcMar>
          </w:tcPr>
          <w:p>
            <w:r>
              <w:rPr>
                <w:rFonts w:ascii="Calibri" w:eastAsia="Microsoft YaHei"/>
                <w:b/>
                <w:bCs/>
                <w:color w:val="FFFFFF"/>
                <w:sz w:val="21"/>
                <w:szCs w:val="21"/>
              </w:rPr>
              <w:t xml:space="preserve">Opcion A</w:t>
            </w:r>
          </w:p>
        </w:tc>
        <w:tc>
          <w:tcPr>
            <w:tcW w:type="pct" w:w="16%"/>
            <w:shd w:fill="1B6B7A" w:val="clear"/>
            <w:tcMar>
              <w:top w:type="dxa" w:w="60"/>
              <w:left w:type="dxa" w:w="120"/>
              <w:bottom w:type="dxa" w:w="60"/>
              <w:right w:type="dxa" w:w="120"/>
            </w:tcMar>
          </w:tcPr>
          <w:p>
            <w:r>
              <w:rPr>
                <w:rFonts w:ascii="Calibri" w:eastAsia="Microsoft YaHei"/>
                <w:b/>
                <w:bCs/>
                <w:color w:val="FFFFFF"/>
                <w:sz w:val="21"/>
                <w:szCs w:val="21"/>
              </w:rPr>
              <w:t xml:space="preserve">Opcion B</w:t>
            </w:r>
          </w:p>
        </w:tc>
        <w:tc>
          <w:tcPr>
            <w:tcW w:type="pct" w:w="12%"/>
            <w:shd w:fill="1B6B7A" w:val="clear"/>
            <w:tcMar>
              <w:top w:type="dxa" w:w="60"/>
              <w:left w:type="dxa" w:w="120"/>
              <w:bottom w:type="dxa" w:w="60"/>
              <w:right w:type="dxa" w:w="120"/>
            </w:tcMar>
          </w:tcPr>
          <w:p>
            <w:r>
              <w:rPr>
                <w:rFonts w:ascii="Calibri" w:eastAsia="Microsoft YaHei"/>
                <w:b/>
                <w:bCs/>
                <w:color w:val="FFFFFF"/>
                <w:sz w:val="21"/>
                <w:szCs w:val="21"/>
              </w:rPr>
              <w:t xml:space="preserve">Seleccion</w:t>
            </w:r>
          </w:p>
        </w:tc>
        <w:tc>
          <w:tcPr>
            <w:tcW w:type="pct" w:w="38%"/>
            <w:shd w:fill="1B6B7A" w:val="clear"/>
            <w:tcMar>
              <w:top w:type="dxa" w:w="60"/>
              <w:left w:type="dxa" w:w="120"/>
              <w:bottom w:type="dxa" w:w="60"/>
              <w:right w:type="dxa" w:w="120"/>
            </w:tcMar>
          </w:tcPr>
          <w:p>
            <w:r>
              <w:rPr>
                <w:rFonts w:ascii="Calibri" w:eastAsia="Microsoft YaHei"/>
                <w:b/>
                <w:bCs/>
                <w:color w:val="FFFFFF"/>
                <w:sz w:val="21"/>
                <w:szCs w:val="21"/>
              </w:rPr>
              <w:t xml:space="preserve">Justificacion</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Multi-tenancy DB</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Schema-per-tenant</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DB-per-tenant</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Hibrido</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Aislamiento enterprise + costo optimizado para SMB</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Ejecucion duradera</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Event-sourcing completo</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Checkpointing simple</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Event-sourcing</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Reconstruccion exacta de estado; audit trail nativo</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API publica</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Extender Flask</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Nueva FastAPI</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FastAPI nueva</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Async nativo, OpenAPI auto-gen, rendimiento ASGI</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Cache distribuido</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Memcached</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Redis</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Redis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PubSub + sessions + cache unificado</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Messaging</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RabbitMQ</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NATS</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NATS</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Menor latencia, modelo JetStream para persistencia</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Vector DB IA</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Pinecone (SaaS)</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Qdrant (self-hosted)</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Qdrant</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Open source, sin dependencia SaaS, despliegue air-gapped</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IdP embebido</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Auth0 (SaaS)</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Keycloak (self-hosted)</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Keycloak</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Open source, sin costo por usuario, completo SAML+OIDC</w:t>
            </w:r>
          </w:p>
        </w:tc>
      </w:tr>
      <w:tr>
        <w:trPr>
          <w:cantSplit/>
        </w:trPr>
        <w:tc>
          <w:tcPr>
            <w:tcW w:type="pct" w:w="1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Observabilidad</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Datadog (SaaS)</w:t>
            </w:r>
          </w:p>
        </w:tc>
        <w:tc>
          <w:tcPr>
            <w:tcW w:type="pct" w:w="16%"/>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OTel+Prometheus+Grafana</w:t>
            </w:r>
          </w:p>
        </w:tc>
        <w:tc>
          <w:tcPr>
            <w:tcW w:type="pct" w:w="12%"/>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OTel stack</w:t>
            </w:r>
          </w:p>
        </w:tc>
        <w:tc>
          <w:tcPr>
            <w:tcW w:type="pct" w:w="38%"/>
            <w:shd w:fill="FFFFFF" w:val="clear"/>
            <w:tcMar>
              <w:top w:type="dxa" w:w="60"/>
              <w:left w:type="dxa" w:w="120"/>
              <w:bottom w:type="dxa" w:w="60"/>
              <w:right w:type="dxa" w:w="120"/>
            </w:tcMar>
          </w:tcPr>
          <w:p>
            <w:r>
              <w:rPr>
                <w:rFonts w:ascii="Calibri" w:eastAsia="Microsoft YaHei"/>
                <w:b w:val="false"/>
                <w:bCs w:val="false"/>
                <w:color w:val="000000"/>
                <w:sz w:val="21"/>
                <w:szCs w:val="21"/>
              </w:rPr>
              <w:t xml:space="preserve">Open source, sin vendor lock-in, estandar de industria</w:t>
            </w:r>
          </w:p>
        </w:tc>
      </w:tr>
    </w:tbl>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808080"/>
        <w:sz w:val="18"/>
        <w:szCs w:val="18"/>
      </w:rPr>
      <w:t xml:space="preserve">Zenic-Flijo — Plan Maestro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62235"/>
      <w:sz w:val="32"/>
      <w:szCs w:val="32"/>
    </w:rPr>
  </w:style>
  <w:style w:type="paragraph" w:styleId="Heading2">
    <w:name w:val="Heading 2"/>
    <w:basedOn w:val="Normal"/>
    <w:next w:val="Normal"/>
    <w:qFormat/>
    <w:pPr>
      <w:spacing w:after="120" w:before="280" w:line="312"/>
      <w:outlineLvl w:val="1"/>
    </w:pPr>
    <w:rPr>
      <w:rFonts w:ascii="Calibri" w:eastAsia="SimHei"/>
      <w:b/>
      <w:bCs/>
      <w:color w:val="162235"/>
      <w:sz w:val="28"/>
      <w:szCs w:val="28"/>
    </w:rPr>
  </w:style>
  <w:style w:type="paragraph" w:styleId="Heading3">
    <w:name w:val="Heading 3"/>
    <w:basedOn w:val="Normal"/>
    <w:next w:val="Normal"/>
    <w:qFormat/>
    <w:pPr>
      <w:spacing w:after="100" w:before="200" w:line="312"/>
      <w:outlineLvl w:val="2"/>
    </w:pPr>
    <w:rPr>
      <w:rFonts w:ascii="Calibri" w:eastAsia="SimHei"/>
      <w:b/>
      <w:bCs/>
      <w:color w:val="16223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2026-06-11T01:00:24.270Z</dcterms:created>
  <dcterms:modified xsi:type="dcterms:W3CDTF">2026-06-11T01:00:24.270Z</dcterms:modified>
</cp:coreProperties>
</file>

<file path=docProps/custom.xml><?xml version="1.0" encoding="utf-8"?>
<Properties xmlns="http://schemas.openxmlformats.org/officeDocument/2006/custom-properties" xmlns:vt="http://schemas.openxmlformats.org/officeDocument/2006/docPropsVTypes"/>
</file>