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54576606" w:rsidR="00D3516D" w:rsidRPr="00FC3F23" w:rsidRDefault="00B45E46" w:rsidP="00D3516D">
      <w:pPr>
        <w:pStyle w:val="IEEETitle"/>
        <w:spacing w:after="0"/>
        <w:rPr>
          <w:sz w:val="20"/>
          <w:szCs w:val="20"/>
          <w:lang w:val="en-CA"/>
        </w:rPr>
      </w:pPr>
      <w:r w:rsidRPr="00FC3F23">
        <w:rPr>
          <w:sz w:val="20"/>
          <w:szCs w:val="20"/>
          <w:lang w:val="en-CA"/>
        </w:rPr>
        <w:t>Inter-vehicle Distance Estimation Using Displaced Stereo Vision</w:t>
      </w:r>
    </w:p>
    <w:p w14:paraId="2FCDB6AE" w14:textId="1A53E846" w:rsidR="00D3516D" w:rsidRPr="00C6766C" w:rsidRDefault="00B45E46" w:rsidP="00D3516D">
      <w:pPr>
        <w:pStyle w:val="IEEEAuthor"/>
        <w:spacing w:before="240"/>
        <w:rPr>
          <w:sz w:val="20"/>
          <w:szCs w:val="20"/>
          <w:lang w:val="en-CA"/>
        </w:rPr>
      </w:pPr>
      <w:r w:rsidRPr="00C6766C">
        <w:rPr>
          <w:color w:val="C00000"/>
          <w:sz w:val="20"/>
          <w:szCs w:val="20"/>
          <w:lang w:val="en-CA"/>
        </w:rPr>
        <w:t>Alfa Budiman</w:t>
      </w:r>
      <w:r w:rsidR="00D3516D" w:rsidRPr="00C6766C">
        <w:rPr>
          <w:color w:val="C00000"/>
          <w:sz w:val="20"/>
          <w:szCs w:val="20"/>
          <w:lang w:val="en-CA"/>
        </w:rPr>
        <w:t xml:space="preserve">, </w:t>
      </w:r>
    </w:p>
    <w:p w14:paraId="01E5EDD5" w14:textId="12BFF4FE" w:rsidR="00D3516D" w:rsidRPr="00FC3F23" w:rsidRDefault="00B45E46" w:rsidP="00D3516D">
      <w:pPr>
        <w:pStyle w:val="IEEEAuthorAffiliation"/>
        <w:spacing w:after="240"/>
        <w:rPr>
          <w:lang w:val="en-CA"/>
        </w:rPr>
        <w:sectPr w:rsidR="00D3516D" w:rsidRPr="00FC3F23" w:rsidSect="00EC3F7C">
          <w:headerReference w:type="first" r:id="rId8"/>
          <w:footerReference w:type="first" r:id="rId9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FC3F23">
        <w:rPr>
          <w:lang w:val="en-CA"/>
        </w:rPr>
        <w:t xml:space="preserve">University of Ottawa, </w:t>
      </w:r>
      <w:r w:rsidR="0062553A" w:rsidRPr="00FC3F23">
        <w:rPr>
          <w:lang w:val="en-CA"/>
        </w:rPr>
        <w:t xml:space="preserve"> Faculty of Engineering</w:t>
      </w:r>
    </w:p>
    <w:p w14:paraId="6CE1B5D4" w14:textId="451A3AF0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FC3F23">
        <w:rPr>
          <w:sz w:val="20"/>
          <w:szCs w:val="20"/>
        </w:rPr>
        <w:t>Abstract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DD5961">
        <w:rPr>
          <w:b w:val="0"/>
          <w:bCs w:val="0"/>
          <w:sz w:val="20"/>
          <w:szCs w:val="20"/>
        </w:rPr>
        <w:t>insert abstract here</w:t>
      </w:r>
    </w:p>
    <w:p w14:paraId="2A0981BA" w14:textId="3D91B884" w:rsidR="00D3516D" w:rsidRPr="00FC3F23" w:rsidRDefault="00D3516D" w:rsidP="00D3516D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 w:rsidRPr="00FC3F23">
        <w:rPr>
          <w:b w:val="0"/>
          <w:bCs w:val="0"/>
          <w:sz w:val="20"/>
          <w:szCs w:val="20"/>
          <w:lang w:val="en-CA"/>
        </w:rPr>
        <w:t>Keywords</w:t>
      </w:r>
      <w:r w:rsidRPr="00FC3F23">
        <w:rPr>
          <w:b w:val="0"/>
          <w:bCs w:val="0"/>
          <w:sz w:val="20"/>
          <w:szCs w:val="20"/>
        </w:rPr>
        <w:t xml:space="preserve"> – </w:t>
      </w:r>
      <w:r w:rsidR="0062553A" w:rsidRPr="00FC3F23">
        <w:rPr>
          <w:b w:val="0"/>
          <w:bCs w:val="0"/>
          <w:sz w:val="20"/>
          <w:szCs w:val="20"/>
        </w:rPr>
        <w:t xml:space="preserve">Stereoscopic vision, Robot Operating System, Unmanned Aerial Vehicle, Unmanned Ground Vehicle </w:t>
      </w:r>
      <w:r w:rsidRPr="00FC3F23">
        <w:rPr>
          <w:b w:val="0"/>
          <w:bCs w:val="0"/>
          <w:sz w:val="20"/>
          <w:szCs w:val="20"/>
        </w:rPr>
        <w:t xml:space="preserve"> </w:t>
      </w:r>
    </w:p>
    <w:p w14:paraId="11038F4C" w14:textId="55C7BB88" w:rsidR="00D3516D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I.</w:t>
      </w:r>
      <w:r w:rsidRPr="00FC3F23">
        <w:tab/>
        <w:t>INTRODUCTION</w:t>
      </w:r>
    </w:p>
    <w:p w14:paraId="7FD03B09" w14:textId="6A722ED0" w:rsidR="00FD65D5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iI.</w:t>
      </w:r>
      <w:r w:rsidRPr="00FC3F23">
        <w:tab/>
        <w:t>problem description</w:t>
      </w:r>
    </w:p>
    <w:p w14:paraId="542CD4B7" w14:textId="397ADCAC" w:rsidR="00FD65D5" w:rsidRPr="00FC3F23" w:rsidRDefault="00FD65D5" w:rsidP="00D8231A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iII.</w:t>
      </w:r>
      <w:r w:rsidRPr="00FC3F23">
        <w:tab/>
        <w:t>SySTEM DESCRIPTION</w:t>
      </w:r>
    </w:p>
    <w:p w14:paraId="10BC3D17" w14:textId="4767519F" w:rsidR="00FD65D5" w:rsidRDefault="00FD65D5" w:rsidP="00FD65D5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methodology</w:t>
      </w:r>
    </w:p>
    <w:p w14:paraId="61B309AA" w14:textId="76C94B11" w:rsidR="004A47A8" w:rsidRPr="007F5452" w:rsidRDefault="004A47A8" w:rsidP="004A47A8">
      <w:pPr>
        <w:rPr>
          <w:color w:val="C00000"/>
        </w:rPr>
      </w:pPr>
      <w:r w:rsidRPr="007F5452">
        <w:rPr>
          <w:color w:val="C00000"/>
        </w:rPr>
        <w:t xml:space="preserve">   The goal is to estimate distances between a target and a UGV. This will be done by combining monocular vision on the UGV</w:t>
      </w:r>
      <w:r w:rsidR="00BC46A2" w:rsidRPr="007F5452">
        <w:rPr>
          <w:color w:val="C00000"/>
        </w:rPr>
        <w:t>’s camera</w:t>
      </w:r>
      <w:r w:rsidRPr="007F5452">
        <w:rPr>
          <w:color w:val="C00000"/>
        </w:rPr>
        <w:t xml:space="preserve"> with monocular vision on an overhead camera in a similar manner to [3]. In this case, a quadcopter will act as that overhead camera.</w:t>
      </w:r>
      <w:r w:rsidR="00AD263C" w:rsidRPr="007F5452">
        <w:rPr>
          <w:color w:val="C00000"/>
        </w:rPr>
        <w:t xml:space="preserve"> This method will occur over 4 steps: object detection, direction calculation, position calculation, and distance calculation. </w:t>
      </w:r>
    </w:p>
    <w:p w14:paraId="15D34B00" w14:textId="13B6692D" w:rsidR="0003079B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</w:rPr>
      </w:pPr>
      <w:r w:rsidRPr="00FC3F23">
        <w:rPr>
          <w:i w:val="0"/>
        </w:rPr>
        <w:t>A. Object Detection</w:t>
      </w:r>
    </w:p>
    <w:p w14:paraId="119891A2" w14:textId="52158ECC" w:rsidR="00E71A45" w:rsidRPr="007F5452" w:rsidRDefault="00BC46A2" w:rsidP="00E80C23">
      <w:pPr>
        <w:pStyle w:val="IEEEBodyText"/>
        <w:ind w:firstLine="0"/>
        <w:rPr>
          <w:color w:val="C00000"/>
        </w:rPr>
      </w:pPr>
      <w:r>
        <w:t xml:space="preserve">   </w:t>
      </w:r>
      <w:r w:rsidRPr="007F5452">
        <w:rPr>
          <w:color w:val="C00000"/>
        </w:rPr>
        <w:t xml:space="preserve">The overhead camera is able to detect the UGV and the target object. While many methods exist for object detection using vision, for this application, color was used to </w:t>
      </w:r>
      <w:r w:rsidR="00E71A45" w:rsidRPr="007F5452">
        <w:rPr>
          <w:color w:val="C00000"/>
        </w:rPr>
        <w:t xml:space="preserve">facilitate ease of detection of the target </w:t>
      </w:r>
      <w:r w:rsidR="00BC3E34" w:rsidRPr="007F5452">
        <w:rPr>
          <w:color w:val="C00000"/>
        </w:rPr>
        <w:t xml:space="preserve">[8], </w:t>
      </w:r>
      <w:r w:rsidR="00E71A45" w:rsidRPr="007F5452">
        <w:rPr>
          <w:color w:val="C00000"/>
        </w:rPr>
        <w:t xml:space="preserve">[9]. The target was a </w:t>
      </w:r>
      <w:proofErr w:type="spellStart"/>
      <w:r w:rsidR="00E71A45" w:rsidRPr="007F5452">
        <w:rPr>
          <w:color w:val="C00000"/>
        </w:rPr>
        <w:t>burgerbot</w:t>
      </w:r>
      <w:proofErr w:type="spellEnd"/>
      <w:r w:rsidR="00E71A45" w:rsidRPr="007F5452">
        <w:rPr>
          <w:color w:val="C00000"/>
        </w:rPr>
        <w:t xml:space="preserve"> and was colored in solid red. The UGV, a </w:t>
      </w:r>
      <w:proofErr w:type="spellStart"/>
      <w:r w:rsidR="00E71A45" w:rsidRPr="007F5452">
        <w:rPr>
          <w:color w:val="C00000"/>
        </w:rPr>
        <w:t>wafflebot</w:t>
      </w:r>
      <w:proofErr w:type="spellEnd"/>
      <w:r w:rsidR="00E71A45" w:rsidRPr="007F5452">
        <w:rPr>
          <w:color w:val="C00000"/>
        </w:rPr>
        <w:t xml:space="preserve"> was colored in solid black.</w:t>
      </w:r>
    </w:p>
    <w:p w14:paraId="0DBCD81B" w14:textId="703FD950" w:rsidR="00E80C23" w:rsidRDefault="00E71A45" w:rsidP="00E80C23">
      <w:pPr>
        <w:pStyle w:val="IEEEBodyText"/>
        <w:ind w:firstLine="0"/>
        <w:rPr>
          <w:color w:val="C00000"/>
        </w:rPr>
      </w:pPr>
      <w:r w:rsidRPr="007F5452">
        <w:rPr>
          <w:color w:val="C00000"/>
        </w:rPr>
        <w:t xml:space="preserve">   The</w:t>
      </w:r>
      <w:r w:rsidR="005A62D6">
        <w:rPr>
          <w:color w:val="C00000"/>
        </w:rPr>
        <w:t xml:space="preserve"> overhead camera sees the </w:t>
      </w:r>
      <w:proofErr w:type="spellStart"/>
      <w:r w:rsidR="005A62D6">
        <w:rPr>
          <w:color w:val="C00000"/>
        </w:rPr>
        <w:t>burgerbot</w:t>
      </w:r>
      <w:proofErr w:type="spellEnd"/>
      <w:r w:rsidR="005A62D6">
        <w:rPr>
          <w:color w:val="C00000"/>
        </w:rPr>
        <w:t xml:space="preserve"> as a group of red pixels</w:t>
      </w:r>
      <w:r w:rsidR="00433E14">
        <w:rPr>
          <w:color w:val="C00000"/>
        </w:rPr>
        <w:t xml:space="preserve">. It also sees the </w:t>
      </w:r>
      <w:proofErr w:type="spellStart"/>
      <w:r w:rsidR="00433E14">
        <w:rPr>
          <w:color w:val="C00000"/>
        </w:rPr>
        <w:t>wafflebot</w:t>
      </w:r>
      <w:proofErr w:type="spellEnd"/>
      <w:r w:rsidR="00433E14">
        <w:rPr>
          <w:color w:val="C00000"/>
        </w:rPr>
        <w:t xml:space="preserve"> as a group of </w:t>
      </w:r>
      <w:r w:rsidR="007F7042">
        <w:rPr>
          <w:color w:val="C00000"/>
        </w:rPr>
        <w:t>black</w:t>
      </w:r>
      <w:r w:rsidR="00433E14">
        <w:rPr>
          <w:color w:val="C00000"/>
        </w:rPr>
        <w:t xml:space="preserve"> pixels</w:t>
      </w:r>
      <w:r w:rsidR="007F7042">
        <w:rPr>
          <w:color w:val="C00000"/>
        </w:rPr>
        <w:t xml:space="preserve">. The </w:t>
      </w:r>
      <w:r w:rsidR="009D1905">
        <w:rPr>
          <w:color w:val="C00000"/>
        </w:rPr>
        <w:t xml:space="preserve">red pixel closest to the group of black pixels is the location of the </w:t>
      </w:r>
      <w:proofErr w:type="spellStart"/>
      <w:r w:rsidR="009D1905">
        <w:rPr>
          <w:color w:val="C00000"/>
        </w:rPr>
        <w:t>burgerbot</w:t>
      </w:r>
      <w:proofErr w:type="spellEnd"/>
      <w:r w:rsidR="009D1905">
        <w:rPr>
          <w:color w:val="C00000"/>
        </w:rPr>
        <w:t xml:space="preserve"> form the quadcopter</w:t>
      </w:r>
      <w:r w:rsidR="00E93AD9">
        <w:rPr>
          <w:color w:val="C00000"/>
        </w:rPr>
        <w:t>’</w:t>
      </w:r>
      <w:r w:rsidR="009D1905">
        <w:rPr>
          <w:color w:val="C00000"/>
        </w:rPr>
        <w:t>s perspective.</w:t>
      </w:r>
      <w:r w:rsidR="00E85176">
        <w:rPr>
          <w:color w:val="C00000"/>
        </w:rPr>
        <w:t xml:space="preserve"> This pixel is </w:t>
      </w:r>
      <w:r w:rsidR="00E80C23">
        <w:rPr>
          <w:color w:val="C00000"/>
        </w:rPr>
        <w:t>annotated</w:t>
      </w:r>
      <w:r w:rsidR="00E85176">
        <w:rPr>
          <w:color w:val="C00000"/>
        </w:rPr>
        <w:t xml:space="preserve"> with a “+” on figure 1.</w:t>
      </w:r>
    </w:p>
    <w:p w14:paraId="5C80BE68" w14:textId="77777777" w:rsidR="00E80C23" w:rsidRDefault="00E80C23" w:rsidP="00E80C23">
      <w:pPr>
        <w:pStyle w:val="IEEEBodyText"/>
        <w:ind w:firstLine="0"/>
        <w:rPr>
          <w:color w:val="C00000"/>
        </w:rPr>
      </w:pPr>
    </w:p>
    <w:p w14:paraId="6A19A2E7" w14:textId="6B574F7C" w:rsidR="00E93AD9" w:rsidRDefault="00E93AD9" w:rsidP="00E93AD9">
      <w:pPr>
        <w:pStyle w:val="IEEEBodyText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6298E8AC" wp14:editId="3B060022">
            <wp:extent cx="1874520" cy="1429572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074" cy="14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0E20" w14:textId="287B3D26" w:rsidR="00E93AD9" w:rsidRPr="0086158D" w:rsidRDefault="00E93AD9" w:rsidP="00E93AD9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  <w:lang w:val="fr-FR"/>
        </w:rPr>
      </w:pPr>
      <w:r w:rsidRP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 xml:space="preserve">Fig. 1. </w:t>
      </w:r>
      <w:proofErr w:type="spellStart"/>
      <w:r w:rsidR="0086158D" w:rsidRP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>Q</w:t>
      </w:r>
      <w:r w:rsid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>uadcopter</w:t>
      </w:r>
      <w:proofErr w:type="spellEnd"/>
      <w:r w:rsidR="0086158D">
        <w:rPr>
          <w:rFonts w:ascii="Times New Roman" w:hAnsi="Times New Roman" w:cs="Times New Roman"/>
          <w:color w:val="C00000"/>
          <w:sz w:val="20"/>
          <w:szCs w:val="20"/>
          <w:lang w:val="fr-FR"/>
        </w:rPr>
        <w:t xml:space="preserve"> Camera Image</w:t>
      </w:r>
    </w:p>
    <w:p w14:paraId="0F914BB3" w14:textId="7C380E6A" w:rsidR="00E93AD9" w:rsidRDefault="0086158D" w:rsidP="0086158D">
      <w:pPr>
        <w:pStyle w:val="IEEEBodyText"/>
        <w:ind w:firstLine="0"/>
        <w:rPr>
          <w:color w:val="C00000"/>
          <w:lang w:val="en-CA"/>
        </w:rPr>
      </w:pPr>
      <w:r w:rsidRPr="0086158D">
        <w:rPr>
          <w:color w:val="C00000"/>
          <w:lang w:val="en-CA"/>
        </w:rPr>
        <w:t xml:space="preserve">     The </w:t>
      </w:r>
      <w:proofErr w:type="spellStart"/>
      <w:r w:rsidRPr="0086158D">
        <w:rPr>
          <w:color w:val="C00000"/>
          <w:lang w:val="en-CA"/>
        </w:rPr>
        <w:t>w</w:t>
      </w:r>
      <w:r>
        <w:rPr>
          <w:color w:val="C00000"/>
          <w:lang w:val="en-CA"/>
        </w:rPr>
        <w:t>afflebot</w:t>
      </w:r>
      <w:proofErr w:type="spellEnd"/>
      <w:r>
        <w:rPr>
          <w:color w:val="C00000"/>
          <w:lang w:val="en-CA"/>
        </w:rPr>
        <w:t xml:space="preserve"> camera sees the </w:t>
      </w:r>
      <w:proofErr w:type="spellStart"/>
      <w:r>
        <w:rPr>
          <w:color w:val="C00000"/>
          <w:lang w:val="en-CA"/>
        </w:rPr>
        <w:t>burgergot</w:t>
      </w:r>
      <w:proofErr w:type="spellEnd"/>
      <w:r>
        <w:rPr>
          <w:color w:val="C00000"/>
          <w:lang w:val="en-CA"/>
        </w:rPr>
        <w:t xml:space="preserve"> also as a group of red pixels. The center of these red pixels is the target’s location from the perspective of the </w:t>
      </w:r>
      <w:proofErr w:type="spellStart"/>
      <w:r>
        <w:rPr>
          <w:color w:val="C00000"/>
          <w:lang w:val="en-CA"/>
        </w:rPr>
        <w:t>wafflebot</w:t>
      </w:r>
      <w:proofErr w:type="spellEnd"/>
      <w:r>
        <w:rPr>
          <w:color w:val="C00000"/>
          <w:lang w:val="en-CA"/>
        </w:rPr>
        <w:t>. This is shown as the “+” on figure 2.</w:t>
      </w:r>
    </w:p>
    <w:p w14:paraId="0D8DE382" w14:textId="175DB464" w:rsidR="00CA164F" w:rsidRDefault="00CA164F" w:rsidP="0086158D">
      <w:pPr>
        <w:pStyle w:val="IEEEBodyText"/>
        <w:ind w:firstLine="0"/>
        <w:rPr>
          <w:color w:val="C00000"/>
          <w:lang w:val="en-CA"/>
        </w:rPr>
      </w:pPr>
    </w:p>
    <w:p w14:paraId="00DE22B8" w14:textId="33180679" w:rsidR="00CA164F" w:rsidRDefault="00CA164F" w:rsidP="00CA164F">
      <w:pPr>
        <w:pStyle w:val="IEEEBodyText"/>
        <w:ind w:firstLine="0"/>
        <w:jc w:val="center"/>
        <w:rPr>
          <w:color w:val="C00000"/>
          <w:lang w:val="en-CA"/>
        </w:rPr>
      </w:pPr>
      <w:r>
        <w:rPr>
          <w:noProof/>
        </w:rPr>
        <w:drawing>
          <wp:inline distT="0" distB="0" distL="0" distR="0" wp14:anchorId="28948276" wp14:editId="0B42857A">
            <wp:extent cx="2179320" cy="1582246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840" cy="15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2E7" w14:textId="507C9C8A" w:rsidR="00CA164F" w:rsidRPr="00CA164F" w:rsidRDefault="00CA164F" w:rsidP="00CA164F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  <w:lang w:val="de-DE"/>
        </w:rPr>
      </w:pP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Fig. 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>2</w:t>
      </w:r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. </w:t>
      </w:r>
      <w:proofErr w:type="spellStart"/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>Wafflebot</w:t>
      </w:r>
      <w:proofErr w:type="spellEnd"/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 </w:t>
      </w:r>
      <w:proofErr w:type="spellStart"/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>Camera</w:t>
      </w:r>
      <w:proofErr w:type="spellEnd"/>
      <w:r w:rsidRPr="00CA164F">
        <w:rPr>
          <w:rFonts w:ascii="Times New Roman" w:hAnsi="Times New Roman" w:cs="Times New Roman"/>
          <w:color w:val="C00000"/>
          <w:sz w:val="20"/>
          <w:szCs w:val="20"/>
          <w:lang w:val="de-DE"/>
        </w:rPr>
        <w:t xml:space="preserve"> Image</w:t>
      </w:r>
    </w:p>
    <w:p w14:paraId="22310C08" w14:textId="72E74C37" w:rsidR="0086158D" w:rsidRPr="00CA164F" w:rsidRDefault="00CA164F" w:rsidP="00CA164F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  </w:t>
      </w:r>
      <w:r w:rsidRPr="00CA164F">
        <w:rPr>
          <w:color w:val="C00000"/>
          <w:lang w:val="en-CA"/>
        </w:rPr>
        <w:t>These pixel coordinates, the l</w:t>
      </w:r>
      <w:r>
        <w:rPr>
          <w:color w:val="C00000"/>
          <w:lang w:val="en-CA"/>
        </w:rPr>
        <w:t>ocations of the “+” on figures 1 and 2 are extracted and then used to calculate the direction from the respective observer to the target, as unit vectors.</w:t>
      </w:r>
    </w:p>
    <w:p w14:paraId="585AE252" w14:textId="264DADFE" w:rsidR="0003079B" w:rsidRPr="0086158D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86158D">
        <w:rPr>
          <w:i w:val="0"/>
          <w:lang w:val="en-CA"/>
        </w:rPr>
        <w:t>B. Direction Calculation</w:t>
      </w:r>
    </w:p>
    <w:p w14:paraId="346CFF07" w14:textId="2CD84296" w:rsidR="0062553A" w:rsidRPr="00D173FE" w:rsidRDefault="0003079B" w:rsidP="00D173FE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C6766C">
        <w:rPr>
          <w:i w:val="0"/>
          <w:lang w:val="en-CA"/>
        </w:rPr>
        <w:t>C. Distance Calculation - Closest Points</w:t>
      </w:r>
    </w:p>
    <w:p w14:paraId="294AE197" w14:textId="77777777" w:rsidR="00563544" w:rsidRPr="004A47A8" w:rsidRDefault="000E26D7" w:rsidP="00563544">
      <w:pPr>
        <w:pStyle w:val="IEEEBodyText"/>
        <w:ind w:firstLine="0"/>
        <w:jc w:val="center"/>
        <w:rPr>
          <w:color w:val="C00000"/>
        </w:rPr>
      </w:pPr>
      <w:r w:rsidRPr="004A47A8">
        <w:rPr>
          <w:color w:val="C00000"/>
          <w:lang w:val="en-CA"/>
        </w:rPr>
        <w:t xml:space="preserve">     </w:t>
      </w:r>
      <w:r w:rsidR="00563544" w:rsidRPr="004A47A8">
        <w:rPr>
          <w:noProof/>
          <w:color w:val="C00000"/>
        </w:rPr>
        <w:drawing>
          <wp:inline distT="0" distB="0" distL="0" distR="0" wp14:anchorId="1477E72A" wp14:editId="56EBFF3D">
            <wp:extent cx="2247900" cy="1840138"/>
            <wp:effectExtent l="0" t="0" r="0" b="8255"/>
            <wp:docPr id="2" name="Picture 2" descr="A picture containing text, way, light, sidewa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y, light, sidewal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794" cy="18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A0B3" w14:textId="51FCDF2E" w:rsidR="00563544" w:rsidRPr="00563544" w:rsidRDefault="00563544" w:rsidP="00563544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 w:rsidR="00E35DCD">
        <w:rPr>
          <w:rFonts w:ascii="Times New Roman" w:hAnsi="Times New Roman" w:cs="Times New Roman"/>
          <w:color w:val="C00000"/>
          <w:sz w:val="20"/>
          <w:szCs w:val="20"/>
        </w:rPr>
        <w:t>3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proofErr w:type="spellStart"/>
      <w:r w:rsidR="00E35DCD">
        <w:rPr>
          <w:rFonts w:ascii="Times New Roman" w:hAnsi="Times New Roman" w:cs="Times New Roman"/>
          <w:color w:val="C00000"/>
          <w:sz w:val="20"/>
          <w:szCs w:val="20"/>
        </w:rPr>
        <w:t>Wafflebot</w:t>
      </w:r>
      <w:proofErr w:type="spellEnd"/>
      <w:r w:rsidR="00E35DCD">
        <w:rPr>
          <w:rFonts w:ascii="Times New Roman" w:hAnsi="Times New Roman" w:cs="Times New Roman"/>
          <w:color w:val="C00000"/>
          <w:sz w:val="20"/>
          <w:szCs w:val="20"/>
        </w:rPr>
        <w:t xml:space="preserve"> and Quadcopter Observing Target</w:t>
      </w:r>
    </w:p>
    <w:p w14:paraId="6217C6CA" w14:textId="786A0CAB" w:rsidR="0062553A" w:rsidRPr="004A47A8" w:rsidRDefault="00563544" w:rsidP="000E26D7">
      <w:pPr>
        <w:pStyle w:val="IEEEBodyText"/>
        <w:ind w:firstLine="0"/>
        <w:jc w:val="left"/>
        <w:rPr>
          <w:color w:val="C00000"/>
        </w:rPr>
      </w:pPr>
      <w:r>
        <w:rPr>
          <w:color w:val="C00000"/>
          <w:lang w:val="en-CA"/>
        </w:rPr>
        <w:t xml:space="preserve">     </w:t>
      </w:r>
      <w:r w:rsidR="0014185D">
        <w:rPr>
          <w:color w:val="C00000"/>
          <w:lang w:val="en-CA"/>
        </w:rPr>
        <w:t>Using stereoscopic vision, an object’s location can be calculated if given the direction from two cameras and the locations of these cameras [2]</w:t>
      </w:r>
      <w:r w:rsidR="000E26D7" w:rsidRPr="004A47A8">
        <w:rPr>
          <w:color w:val="C00000"/>
          <w:lang w:val="en-CA"/>
        </w:rPr>
        <w:t xml:space="preserve">. </w:t>
      </w:r>
      <w:r w:rsidR="0014185D">
        <w:rPr>
          <w:color w:val="C00000"/>
          <w:lang w:val="en-CA"/>
        </w:rPr>
        <w:t xml:space="preserve">In figure 1 and equations (1), (2),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0E26D7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0E26D7" w:rsidRPr="004A47A8">
        <w:rPr>
          <w:color w:val="C00000"/>
        </w:rPr>
        <w:t xml:space="preserve"> are the lines in 3D space from the quadcopter to the target and the </w:t>
      </w:r>
      <w:proofErr w:type="spellStart"/>
      <w:r w:rsidR="000E26D7" w:rsidRPr="004A47A8">
        <w:rPr>
          <w:color w:val="C00000"/>
        </w:rPr>
        <w:t>wafflebot</w:t>
      </w:r>
      <w:proofErr w:type="spellEnd"/>
      <w:r w:rsidR="000E26D7" w:rsidRPr="004A47A8">
        <w:rPr>
          <w:color w:val="C00000"/>
        </w:rPr>
        <w:t xml:space="preserve"> to the target, respectively</w:t>
      </w:r>
      <w:r w:rsidR="0014185D">
        <w:rPr>
          <w:color w:val="C00000"/>
        </w:rPr>
        <w:t>.</w:t>
      </w:r>
    </w:p>
    <w:p w14:paraId="25C86D22" w14:textId="77777777" w:rsidR="00EC3F7C" w:rsidRPr="004A47A8" w:rsidRDefault="00EC3F7C" w:rsidP="000E26D7">
      <w:pPr>
        <w:pStyle w:val="IEEEBodyText"/>
        <w:ind w:firstLine="0"/>
        <w:jc w:val="left"/>
        <w:rPr>
          <w:color w:val="C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851"/>
      </w:tblGrid>
      <w:tr w:rsidR="00563544" w:rsidRPr="004A47A8" w14:paraId="26B3F7E1" w14:textId="77777777" w:rsidTr="00563544">
        <w:tc>
          <w:tcPr>
            <w:tcW w:w="4106" w:type="dxa"/>
          </w:tcPr>
          <w:p w14:paraId="6D3C3CD6" w14:textId="05F5B75C" w:rsidR="00EC3F7C" w:rsidRPr="004A47A8" w:rsidRDefault="00402F0E" w:rsidP="000E26D7">
            <w:pPr>
              <w:pStyle w:val="IEEEBodyText"/>
              <w:ind w:firstLine="0"/>
              <w:jc w:val="left"/>
              <w:rPr>
                <w:color w:val="C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</m:oMath>
            <w:r w:rsidR="00EC3F7C" w:rsidRPr="004A47A8">
              <w:rPr>
                <w:color w:val="C00000"/>
              </w:rPr>
              <w:t xml:space="preserve">,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</m:oMath>
          </w:p>
        </w:tc>
        <w:tc>
          <w:tcPr>
            <w:tcW w:w="851" w:type="dxa"/>
          </w:tcPr>
          <w:p w14:paraId="3AF6BCC0" w14:textId="22D60796" w:rsidR="00EC3F7C" w:rsidRPr="004A47A8" w:rsidRDefault="00EC3F7C" w:rsidP="000E26D7">
            <w:pPr>
              <w:pStyle w:val="IEEEBodyText"/>
              <w:ind w:firstLine="0"/>
              <w:jc w:val="left"/>
              <w:rPr>
                <w:color w:val="C00000"/>
              </w:rPr>
            </w:pPr>
            <w:r w:rsidRPr="004A47A8">
              <w:rPr>
                <w:color w:val="C00000"/>
              </w:rPr>
              <w:t>(1),(2)</w:t>
            </w:r>
          </w:p>
        </w:tc>
      </w:tr>
    </w:tbl>
    <w:p w14:paraId="590F7DBF" w14:textId="0FB769DE" w:rsidR="000E26D7" w:rsidRPr="004A47A8" w:rsidRDefault="000E26D7" w:rsidP="000E26D7">
      <w:pPr>
        <w:pStyle w:val="IEEEBodyText"/>
        <w:ind w:firstLine="0"/>
        <w:jc w:val="left"/>
        <w:rPr>
          <w:color w:val="C00000"/>
        </w:rPr>
      </w:pPr>
    </w:p>
    <w:p w14:paraId="0A652572" w14:textId="61806BA1" w:rsidR="00EC3F7C" w:rsidRPr="004A47A8" w:rsidRDefault="000D2ADC" w:rsidP="000E26D7">
      <w:pPr>
        <w:pStyle w:val="IEEEBodyText"/>
        <w:ind w:firstLine="0"/>
        <w:jc w:val="left"/>
        <w:rPr>
          <w:color w:val="C00000"/>
        </w:rPr>
      </w:pPr>
      <w:r>
        <w:rPr>
          <w:color w:val="C00000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EC3F7C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EC3F7C" w:rsidRPr="004A47A8">
        <w:rPr>
          <w:color w:val="C00000"/>
        </w:rPr>
        <w:t xml:space="preserve"> are the location of the quadcopter and wafflebot in reference to the world frame. These locations can be obtained from the onboard sensors on these observers.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="00EC3F7C"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EC3F7C" w:rsidRPr="004A47A8">
        <w:rPr>
          <w:color w:val="C00000"/>
        </w:rPr>
        <w:t xml:space="preserve"> are unit vectors from the quadcopter to target and wafflebot to target, respectively. These were obtained from direction calculation:</w:t>
      </w:r>
    </w:p>
    <w:p w14:paraId="1E9810B0" w14:textId="77777777" w:rsidR="000E26D7" w:rsidRPr="004A47A8" w:rsidRDefault="000E26D7" w:rsidP="000E26D7">
      <w:pPr>
        <w:pStyle w:val="IEEEBodyText"/>
        <w:ind w:firstLine="0"/>
        <w:jc w:val="left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4A47A8" w:rsidRPr="004A47A8" w14:paraId="1A230DA0" w14:textId="77777777" w:rsidTr="00D173FE">
        <w:tc>
          <w:tcPr>
            <w:tcW w:w="3824" w:type="dxa"/>
            <w:shd w:val="clear" w:color="auto" w:fill="auto"/>
          </w:tcPr>
          <w:p w14:paraId="5E18D7FD" w14:textId="0626D389" w:rsidR="00EC3F7C" w:rsidRPr="004A47A8" w:rsidRDefault="00402F0E" w:rsidP="00EC3F7C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EC3F7C" w:rsidRPr="004A47A8">
              <w:rPr>
                <w:color w:val="C00000"/>
              </w:rPr>
              <w:t xml:space="preserve">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133" w:type="dxa"/>
            <w:shd w:val="clear" w:color="auto" w:fill="auto"/>
          </w:tcPr>
          <w:p w14:paraId="26FEDAF7" w14:textId="4FCD41AB" w:rsidR="00EC3F7C" w:rsidRPr="004A47A8" w:rsidRDefault="00EC3F7C" w:rsidP="00EC3F7C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4A47A8">
              <w:rPr>
                <w:color w:val="C00000"/>
              </w:rPr>
              <w:t>(3),(4)</w:t>
            </w:r>
          </w:p>
        </w:tc>
      </w:tr>
      <w:tr w:rsidR="004A47A8" w:rsidRPr="004A47A8" w14:paraId="58F6766C" w14:textId="77777777" w:rsidTr="00D173FE">
        <w:tc>
          <w:tcPr>
            <w:tcW w:w="3824" w:type="dxa"/>
            <w:shd w:val="clear" w:color="auto" w:fill="auto"/>
          </w:tcPr>
          <w:p w14:paraId="60B5AA05" w14:textId="0C68CBB6" w:rsidR="00EC3F7C" w:rsidRPr="004A47A8" w:rsidRDefault="00402F0E" w:rsidP="00EC3F7C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∆z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0D2ADC">
              <w:rPr>
                <w:color w:val="C00000"/>
              </w:rPr>
              <w:t xml:space="preserve">,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C0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∆z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C00000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133" w:type="dxa"/>
            <w:shd w:val="clear" w:color="auto" w:fill="auto"/>
          </w:tcPr>
          <w:p w14:paraId="34486925" w14:textId="6992CEA5" w:rsidR="00EC3F7C" w:rsidRPr="004A47A8" w:rsidRDefault="00EC3F7C" w:rsidP="00EC3F7C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4A47A8">
              <w:rPr>
                <w:color w:val="C00000"/>
              </w:rPr>
              <w:t>(5),(6)</w:t>
            </w:r>
          </w:p>
        </w:tc>
      </w:tr>
    </w:tbl>
    <w:p w14:paraId="1C3D9A33" w14:textId="109DAFC6" w:rsidR="0062553A" w:rsidRDefault="000D2ADC" w:rsidP="000D2ADC">
      <w:pPr>
        <w:pStyle w:val="IEEEBodyText"/>
        <w:ind w:firstLine="0"/>
        <w:rPr>
          <w:color w:val="C00000"/>
        </w:rPr>
      </w:pPr>
      <w:r>
        <w:rPr>
          <w:color w:val="C00000"/>
        </w:rPr>
        <w:t xml:space="preserve">   </w:t>
      </w:r>
    </w:p>
    <w:p w14:paraId="0C6CED3D" w14:textId="17E57242" w:rsidR="000D2ADC" w:rsidRDefault="000D2ADC" w:rsidP="000D2ADC">
      <w:pPr>
        <w:pStyle w:val="IEEEBodyText"/>
        <w:ind w:firstLine="0"/>
        <w:rPr>
          <w:color w:val="C00000"/>
        </w:rPr>
      </w:pPr>
      <w:r w:rsidRPr="000D2ADC">
        <w:rPr>
          <w:lang w:val="en-CA"/>
        </w:rPr>
        <w:t xml:space="preserve">     </w:t>
      </w:r>
      <w:r w:rsidRPr="000D2ADC">
        <w:rPr>
          <w:color w:val="C00000"/>
          <w:lang w:val="en-CA"/>
        </w:rPr>
        <w:t xml:space="preserve">Ideally, lines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q</m:t>
            </m:r>
          </m:sub>
        </m:sSub>
      </m:oMath>
      <w:r w:rsidRPr="004A47A8">
        <w:rPr>
          <w:color w:val="C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L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>
        <w:rPr>
          <w:color w:val="C00000"/>
        </w:rPr>
        <w:t xml:space="preserve"> would intersect, but due to the imperfection of the feature matching pro</w:t>
      </w:r>
      <w:r w:rsidR="002F42F9">
        <w:rPr>
          <w:color w:val="C00000"/>
        </w:rPr>
        <w:t>c</w:t>
      </w:r>
      <w:r>
        <w:rPr>
          <w:color w:val="C00000"/>
        </w:rPr>
        <w:t>ess in object detection and direction calculation, this will almost never occur.</w:t>
      </w:r>
      <w:r w:rsidR="00781215">
        <w:rPr>
          <w:color w:val="C00000"/>
        </w:rPr>
        <w:t xml:space="preserve"> Therefore, the two closest points on non</w:t>
      </w:r>
      <w:r w:rsidR="00F106A9">
        <w:rPr>
          <w:color w:val="C00000"/>
        </w:rPr>
        <w:t>-</w:t>
      </w:r>
      <w:r w:rsidR="00781215">
        <w:rPr>
          <w:color w:val="C00000"/>
        </w:rPr>
        <w:t xml:space="preserve">intersecting lines must be found. The middle between these two points is the location of the target. </w:t>
      </w:r>
    </w:p>
    <w:p w14:paraId="6B767D94" w14:textId="7F2AE029" w:rsidR="00781215" w:rsidRDefault="00781215" w:rsidP="00D173FE">
      <w:pPr>
        <w:pStyle w:val="IEEEBodyText"/>
        <w:ind w:firstLine="0"/>
        <w:rPr>
          <w:color w:val="C00000"/>
          <w:lang w:val="en-CA"/>
        </w:rPr>
      </w:pPr>
      <w:r w:rsidRPr="00781215">
        <w:rPr>
          <w:color w:val="C00000"/>
          <w:lang w:val="en-CA"/>
        </w:rPr>
        <w:t xml:space="preserve">     The pa</w:t>
      </w:r>
      <w:r>
        <w:rPr>
          <w:color w:val="C00000"/>
          <w:lang w:val="en-CA"/>
        </w:rPr>
        <w:t xml:space="preserve">rameters </w:t>
      </w:r>
      <m:oMath>
        <m:r>
          <w:rPr>
            <w:rFonts w:ascii="Cambria Math" w:hAnsi="Cambria Math"/>
            <w:color w:val="C00000"/>
            <w:lang w:val="en-CA"/>
          </w:rPr>
          <m:t>s</m:t>
        </m:r>
      </m:oMath>
      <w:r>
        <w:rPr>
          <w:color w:val="C00000"/>
          <w:lang w:val="en-CA"/>
        </w:rPr>
        <w:t xml:space="preserve"> and</w:t>
      </w:r>
      <m:oMath>
        <m:r>
          <w:rPr>
            <w:rFonts w:ascii="Cambria Math" w:hAnsi="Cambria Math"/>
            <w:color w:val="C00000"/>
            <w:lang w:val="en-CA"/>
          </w:rPr>
          <m:t xml:space="preserve"> k</m:t>
        </m:r>
      </m:oMath>
      <w:r>
        <w:rPr>
          <w:color w:val="C00000"/>
          <w:lang w:val="en-CA"/>
        </w:rPr>
        <w:t xml:space="preserve"> that yield the closest points are found when the following conditions are satisfied:</w:t>
      </w:r>
    </w:p>
    <w:p w14:paraId="2AE67AAF" w14:textId="77777777" w:rsidR="00563544" w:rsidRPr="00781215" w:rsidRDefault="00563544" w:rsidP="00D173FE">
      <w:pPr>
        <w:pStyle w:val="IEEEBodyText"/>
        <w:ind w:firstLine="0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781215" w:rsidRPr="004A47A8" w14:paraId="0B32A717" w14:textId="77777777" w:rsidTr="00563544">
        <w:tc>
          <w:tcPr>
            <w:tcW w:w="3824" w:type="dxa"/>
            <w:shd w:val="clear" w:color="auto" w:fill="auto"/>
          </w:tcPr>
          <w:p w14:paraId="3BBC9060" w14:textId="55CBEB29" w:rsidR="00781215" w:rsidRPr="008015C6" w:rsidRDefault="00F106A9" w:rsidP="00010612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=0</m:t>
              </m:r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,</m:t>
              </m:r>
            </m:oMath>
            <w:r w:rsidRPr="008015C6">
              <w:rPr>
                <w:color w:val="C00000"/>
                <w:sz w:val="18"/>
                <w:szCs w:val="18"/>
              </w:rPr>
              <w:t xml:space="preserve">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  <w:sz w:val="18"/>
                          <w:szCs w:val="1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00000"/>
                      <w:sz w:val="18"/>
                      <w:szCs w:val="1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C00000"/>
                  <w:sz w:val="18"/>
                  <w:szCs w:val="18"/>
                </w:rPr>
                <m:t>=0</m:t>
              </m:r>
            </m:oMath>
          </w:p>
        </w:tc>
        <w:tc>
          <w:tcPr>
            <w:tcW w:w="1133" w:type="dxa"/>
            <w:shd w:val="clear" w:color="auto" w:fill="auto"/>
          </w:tcPr>
          <w:p w14:paraId="4BFB8539" w14:textId="310FB3DE" w:rsidR="00781215" w:rsidRPr="008015C6" w:rsidRDefault="0078121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</w:t>
            </w:r>
            <w:r w:rsidR="00F106A9" w:rsidRPr="008015C6">
              <w:rPr>
                <w:color w:val="C00000"/>
              </w:rPr>
              <w:t>7</w:t>
            </w:r>
            <w:r w:rsidRPr="008015C6">
              <w:rPr>
                <w:color w:val="C00000"/>
              </w:rPr>
              <w:t>),(</w:t>
            </w:r>
            <w:r w:rsidR="00F106A9" w:rsidRPr="008015C6">
              <w:rPr>
                <w:color w:val="C00000"/>
              </w:rPr>
              <w:t>8</w:t>
            </w:r>
            <w:r w:rsidRPr="008015C6">
              <w:rPr>
                <w:color w:val="C00000"/>
              </w:rPr>
              <w:t>)</w:t>
            </w:r>
          </w:p>
        </w:tc>
      </w:tr>
    </w:tbl>
    <w:p w14:paraId="1F8203B4" w14:textId="77777777" w:rsidR="00563544" w:rsidRDefault="00794939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</w:t>
      </w:r>
    </w:p>
    <w:p w14:paraId="77693C9D" w14:textId="2013FAFB" w:rsidR="00794939" w:rsidRDefault="00794939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Expanding these dot products yields a system of linear equations that can be expressed in matrix form </w:t>
      </w:r>
      <m:oMath>
        <m:r>
          <w:rPr>
            <w:rFonts w:ascii="Cambria Math" w:hAnsi="Cambria Math"/>
            <w:color w:val="C00000"/>
            <w:lang w:val="en-CA"/>
          </w:rPr>
          <m:t>AX=B</m:t>
        </m:r>
      </m:oMath>
      <w:r>
        <w:rPr>
          <w:color w:val="C00000"/>
          <w:lang w:val="en-CA"/>
        </w:rPr>
        <w:t>:</w:t>
      </w:r>
    </w:p>
    <w:p w14:paraId="545F16D1" w14:textId="77777777" w:rsidR="00563544" w:rsidRDefault="00563544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03"/>
      </w:tblGrid>
      <w:tr w:rsidR="008015C6" w:rsidRPr="008015C6" w14:paraId="11FD6B61" w14:textId="77777777" w:rsidTr="00563544">
        <w:tc>
          <w:tcPr>
            <w:tcW w:w="4554" w:type="dxa"/>
          </w:tcPr>
          <w:p w14:paraId="2C26F701" w14:textId="2D334419" w:rsidR="00794939" w:rsidRPr="008015C6" w:rsidRDefault="00794939" w:rsidP="00794939">
            <w:pPr>
              <w:pStyle w:val="IEEEBodyText"/>
              <w:ind w:firstLine="0"/>
              <w:rPr>
                <w:color w:val="C00000"/>
                <w:sz w:val="14"/>
                <w:szCs w:val="14"/>
                <w:lang w:val="en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4"/>
                    <w:szCs w:val="1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4"/>
                              <w:szCs w:val="1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∆z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14"/>
                                  <w:szCs w:val="1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∆z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3" w:type="dxa"/>
          </w:tcPr>
          <w:p w14:paraId="6DDEA8C4" w14:textId="23BFBB84" w:rsidR="00794939" w:rsidRPr="008015C6" w:rsidRDefault="008015C6" w:rsidP="00794939">
            <w:pPr>
              <w:pStyle w:val="IEEEBodyText"/>
              <w:ind w:firstLine="0"/>
              <w:rPr>
                <w:color w:val="C00000"/>
                <w:sz w:val="16"/>
                <w:szCs w:val="16"/>
                <w:lang w:val="en-CA"/>
              </w:rPr>
            </w:pPr>
            <w:r w:rsidRPr="008015C6">
              <w:rPr>
                <w:color w:val="C00000"/>
                <w:sz w:val="16"/>
                <w:szCs w:val="16"/>
                <w:lang w:val="en-CA"/>
              </w:rPr>
              <w:t>(9)</w:t>
            </w:r>
          </w:p>
        </w:tc>
      </w:tr>
    </w:tbl>
    <w:p w14:paraId="141FE039" w14:textId="2CE5BB0E" w:rsidR="00794939" w:rsidRPr="008015C6" w:rsidRDefault="00794939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83"/>
      </w:tblGrid>
      <w:tr w:rsidR="008015C6" w:rsidRPr="008015C6" w14:paraId="063F0E70" w14:textId="77777777" w:rsidTr="00563544">
        <w:tc>
          <w:tcPr>
            <w:tcW w:w="4484" w:type="dxa"/>
          </w:tcPr>
          <w:p w14:paraId="2F8C90D3" w14:textId="77777777" w:rsidR="008015C6" w:rsidRPr="008015C6" w:rsidRDefault="008015C6" w:rsidP="008015C6">
            <w:pPr>
              <w:rPr>
                <w:color w:val="C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6"/>
                    <w:szCs w:val="16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7F5B29BE" w14:textId="516F2288" w:rsidR="008015C6" w:rsidRPr="008015C6" w:rsidRDefault="008015C6" w:rsidP="00010612">
            <w:pPr>
              <w:pStyle w:val="IEEEBodyText"/>
              <w:ind w:firstLine="0"/>
              <w:rPr>
                <w:color w:val="C00000"/>
                <w:sz w:val="14"/>
                <w:szCs w:val="14"/>
                <w:lang w:val="en-CA"/>
              </w:rPr>
            </w:pPr>
          </w:p>
        </w:tc>
        <w:tc>
          <w:tcPr>
            <w:tcW w:w="483" w:type="dxa"/>
          </w:tcPr>
          <w:p w14:paraId="675D6D82" w14:textId="605CF8D9" w:rsidR="008015C6" w:rsidRPr="008015C6" w:rsidRDefault="008015C6" w:rsidP="00010612">
            <w:pPr>
              <w:pStyle w:val="IEEEBodyText"/>
              <w:ind w:firstLine="0"/>
              <w:rPr>
                <w:color w:val="C00000"/>
                <w:sz w:val="16"/>
                <w:szCs w:val="16"/>
                <w:lang w:val="en-CA"/>
              </w:rPr>
            </w:pPr>
            <w:r w:rsidRPr="008015C6">
              <w:rPr>
                <w:color w:val="C00000"/>
                <w:sz w:val="16"/>
                <w:szCs w:val="16"/>
                <w:lang w:val="en-CA"/>
              </w:rPr>
              <w:t>(</w:t>
            </w:r>
            <w:r w:rsidRPr="008015C6">
              <w:rPr>
                <w:color w:val="C00000"/>
                <w:sz w:val="16"/>
                <w:szCs w:val="16"/>
                <w:lang w:val="en-CA"/>
              </w:rPr>
              <w:t>10</w:t>
            </w:r>
            <w:r w:rsidRPr="008015C6">
              <w:rPr>
                <w:color w:val="C00000"/>
                <w:sz w:val="16"/>
                <w:szCs w:val="16"/>
                <w:lang w:val="en-CA"/>
              </w:rPr>
              <w:t>)</w:t>
            </w:r>
          </w:p>
        </w:tc>
      </w:tr>
    </w:tbl>
    <w:p w14:paraId="0445C349" w14:textId="52D1BD98" w:rsidR="008015C6" w:rsidRDefault="00563544" w:rsidP="00794939">
      <w:pPr>
        <w:pStyle w:val="IEEEBodyText"/>
        <w:ind w:firstLine="0"/>
        <w:rPr>
          <w:color w:val="C00000"/>
          <w:lang w:val="en-CA"/>
        </w:rPr>
      </w:pPr>
      <w:r w:rsidRPr="008015C6">
        <w:rPr>
          <w:color w:val="C00000"/>
          <w:lang w:val="en-CA"/>
        </w:rPr>
        <w:t>Solving this system yields t</w:t>
      </w:r>
      <w:r>
        <w:rPr>
          <w:color w:val="C00000"/>
          <w:lang w:val="en-CA"/>
        </w:rPr>
        <w:t xml:space="preserve">he following values of </w:t>
      </w:r>
      <m:oMath>
        <m:r>
          <w:rPr>
            <w:rFonts w:ascii="Cambria Math" w:hAnsi="Cambria Math"/>
            <w:color w:val="C00000"/>
            <w:lang w:val="en-CA"/>
          </w:rPr>
          <m:t>s</m:t>
        </m:r>
      </m:oMath>
      <w:r>
        <w:rPr>
          <w:color w:val="C00000"/>
          <w:lang w:val="en-CA"/>
        </w:rPr>
        <w:t xml:space="preserve"> and</w:t>
      </w:r>
      <m:oMath>
        <m:r>
          <w:rPr>
            <w:rFonts w:ascii="Cambria Math" w:hAnsi="Cambria Math"/>
            <w:color w:val="C00000"/>
            <w:lang w:val="en-CA"/>
          </w:rPr>
          <m:t xml:space="preserve"> k</m:t>
        </m:r>
      </m:oMath>
      <w:r>
        <w:rPr>
          <w:color w:val="C00000"/>
          <w:lang w:val="en-CA"/>
        </w:rPr>
        <w:t>:</w:t>
      </w:r>
    </w:p>
    <w:p w14:paraId="536350E0" w14:textId="77777777" w:rsidR="00563544" w:rsidRPr="008015C6" w:rsidRDefault="00563544" w:rsidP="00794939">
      <w:pPr>
        <w:pStyle w:val="IEEEBodyText"/>
        <w:ind w:firstLine="0"/>
        <w:rPr>
          <w:color w:val="C00000"/>
          <w:lang w:val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00"/>
        <w:gridCol w:w="884"/>
        <w:gridCol w:w="1083"/>
      </w:tblGrid>
      <w:tr w:rsidR="002838AA" w:rsidRPr="008015C6" w14:paraId="5A1758F3" w14:textId="77777777" w:rsidTr="002838AA">
        <w:tc>
          <w:tcPr>
            <w:tcW w:w="3000" w:type="dxa"/>
            <w:shd w:val="clear" w:color="auto" w:fill="auto"/>
          </w:tcPr>
          <w:p w14:paraId="4ECC2630" w14:textId="3BB0C745" w:rsidR="002838AA" w:rsidRPr="00563544" w:rsidRDefault="002838AA" w:rsidP="008015C6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sz w:val="12"/>
                <w:szCs w:val="1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8"/>
                              <w:szCs w:val="18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18"/>
                              <w:szCs w:val="18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84" w:type="dxa"/>
          </w:tcPr>
          <w:p w14:paraId="7BA1CD44" w14:textId="77777777" w:rsidR="002838AA" w:rsidRPr="008015C6" w:rsidRDefault="002838AA" w:rsidP="008015C6">
            <w:pPr>
              <w:pStyle w:val="IEEEBodyText"/>
              <w:ind w:right="400" w:firstLine="0"/>
              <w:jc w:val="right"/>
              <w:rPr>
                <w:color w:val="C00000"/>
              </w:rPr>
            </w:pPr>
          </w:p>
        </w:tc>
        <w:tc>
          <w:tcPr>
            <w:tcW w:w="1083" w:type="dxa"/>
            <w:shd w:val="clear" w:color="auto" w:fill="auto"/>
          </w:tcPr>
          <w:p w14:paraId="08E1D0E3" w14:textId="4F93FEC6" w:rsidR="002838AA" w:rsidRPr="008015C6" w:rsidRDefault="002838AA" w:rsidP="008015C6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(1</w:t>
            </w:r>
            <w:r w:rsidRPr="008015C6">
              <w:rPr>
                <w:color w:val="C00000"/>
              </w:rPr>
              <w:t>1</w:t>
            </w:r>
            <w:r w:rsidRPr="008015C6">
              <w:rPr>
                <w:color w:val="C00000"/>
              </w:rPr>
              <w:t>)</w:t>
            </w:r>
          </w:p>
        </w:tc>
      </w:tr>
    </w:tbl>
    <w:p w14:paraId="3FE53FF9" w14:textId="77777777" w:rsidR="00CD0EFC" w:rsidRDefault="00CD0EFC" w:rsidP="00D173FE">
      <w:pPr>
        <w:pStyle w:val="IEEEBodyText"/>
        <w:ind w:firstLine="0"/>
        <w:rPr>
          <w:color w:val="C00000"/>
          <w:lang w:val="en-CA"/>
        </w:rPr>
      </w:pPr>
    </w:p>
    <w:p w14:paraId="6336C921" w14:textId="17E111DF" w:rsidR="008015C6" w:rsidRDefault="00355105" w:rsidP="00D173FE">
      <w:pPr>
        <w:pStyle w:val="IEEEBodyText"/>
        <w:ind w:firstLine="0"/>
        <w:rPr>
          <w:color w:val="C00000"/>
        </w:rPr>
      </w:pPr>
      <w:r>
        <w:rPr>
          <w:color w:val="C00000"/>
          <w:lang w:val="en-CA"/>
        </w:rPr>
        <w:t xml:space="preserve">   </w:t>
      </w:r>
      <w:r w:rsidR="008015C6">
        <w:rPr>
          <w:color w:val="C00000"/>
          <w:lang w:val="en-CA"/>
        </w:rPr>
        <w:t xml:space="preserve">Therefore </w:t>
      </w:r>
      <w:r w:rsidR="0014185D">
        <w:rPr>
          <w:color w:val="C00000"/>
          <w:lang w:val="en-CA"/>
        </w:rPr>
        <w:t xml:space="preserve">the target’s location,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t</m:t>
            </m:r>
          </m:sub>
        </m:sSub>
      </m:oMath>
      <w:r w:rsidR="0014185D">
        <w:rPr>
          <w:color w:val="C00000"/>
          <w:lang w:val="en-CA"/>
        </w:rPr>
        <w:t xml:space="preserve"> can be calulcated by substituting the values of </w:t>
      </w:r>
      <m:oMath>
        <m:r>
          <w:rPr>
            <w:rFonts w:ascii="Cambria Math" w:hAnsi="Cambria Math"/>
            <w:color w:val="C00000"/>
            <w:sz w:val="18"/>
            <w:szCs w:val="18"/>
          </w:rPr>
          <m:t>s</m:t>
        </m:r>
      </m:oMath>
      <w:r w:rsidR="0014185D">
        <w:rPr>
          <w:color w:val="C00000"/>
          <w:sz w:val="18"/>
          <w:szCs w:val="18"/>
        </w:rPr>
        <w:t xml:space="preserve"> and </w:t>
      </w:r>
      <m:oMath>
        <m:r>
          <w:rPr>
            <w:rFonts w:ascii="Cambria Math" w:hAnsi="Cambria Math"/>
            <w:color w:val="C00000"/>
            <w:sz w:val="18"/>
            <w:szCs w:val="18"/>
          </w:rPr>
          <m:t>k</m:t>
        </m:r>
      </m:oMath>
      <w:r w:rsidR="0014185D">
        <w:rPr>
          <w:color w:val="C00000"/>
          <w:sz w:val="18"/>
          <w:szCs w:val="18"/>
        </w:rPr>
        <w:t xml:space="preserve"> from (11). The distance, </w:t>
      </w:r>
      <m:oMath>
        <m:r>
          <w:rPr>
            <w:rFonts w:ascii="Cambria Math" w:hAnsi="Cambria Math"/>
            <w:color w:val="C00000"/>
            <w:sz w:val="18"/>
            <w:szCs w:val="18"/>
          </w:rPr>
          <m:t>d</m:t>
        </m:r>
      </m:oMath>
      <w:r w:rsidR="0014185D">
        <w:rPr>
          <w:color w:val="C00000"/>
          <w:sz w:val="18"/>
          <w:szCs w:val="18"/>
        </w:rPr>
        <w:t xml:space="preserve">, between the </w:t>
      </w:r>
      <w:proofErr w:type="spellStart"/>
      <w:r w:rsidR="0014185D">
        <w:rPr>
          <w:color w:val="C00000"/>
          <w:sz w:val="18"/>
          <w:szCs w:val="18"/>
        </w:rPr>
        <w:t>wafflebot</w:t>
      </w:r>
      <w:proofErr w:type="spellEnd"/>
      <w:r w:rsidR="0014185D">
        <w:rPr>
          <w:color w:val="C00000"/>
          <w:sz w:val="18"/>
          <w:szCs w:val="18"/>
        </w:rPr>
        <w:t xml:space="preserve"> and the target is the magnitude of the difference between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t</m:t>
            </m:r>
          </m:sub>
        </m:sSub>
      </m:oMath>
      <w:r w:rsidR="0014185D">
        <w:rPr>
          <w:color w:val="C0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P</m:t>
            </m:r>
          </m:e>
          <m:sub>
            <m:r>
              <w:rPr>
                <w:rFonts w:ascii="Cambria Math" w:hAnsi="Cambria Math"/>
                <w:color w:val="C00000"/>
              </w:rPr>
              <m:t>w</m:t>
            </m:r>
          </m:sub>
        </m:sSub>
      </m:oMath>
      <w:r w:rsidR="0014185D">
        <w:rPr>
          <w:color w:val="C00000"/>
        </w:rPr>
        <w:t>.</w:t>
      </w:r>
    </w:p>
    <w:p w14:paraId="58EF7B36" w14:textId="77777777" w:rsidR="00CD0EFC" w:rsidRDefault="00CD0EFC" w:rsidP="00D173FE">
      <w:pPr>
        <w:pStyle w:val="IEEEBodyText"/>
        <w:ind w:firstLine="0"/>
        <w:rPr>
          <w:color w:val="C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8015C6" w:rsidRPr="008015C6" w14:paraId="20846F4D" w14:textId="77777777" w:rsidTr="00CD0EFC">
        <w:tc>
          <w:tcPr>
            <w:tcW w:w="3824" w:type="dxa"/>
            <w:shd w:val="clear" w:color="auto" w:fill="auto"/>
          </w:tcPr>
          <w:p w14:paraId="1DFF6273" w14:textId="01B4F0AC" w:rsidR="008015C6" w:rsidRPr="008015C6" w:rsidRDefault="008015C6" w:rsidP="00010612">
            <w:pPr>
              <w:pStyle w:val="IEEEBodyText"/>
              <w:ind w:firstLine="0"/>
              <w:jc w:val="left"/>
              <w:rPr>
                <w:rFonts w:ascii="Cambria Math" w:hAnsi="Cambria Math"/>
                <w:color w:val="C00000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(k=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)]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69709EAE" w14:textId="29AFDC10" w:rsidR="008015C6" w:rsidRPr="008015C6" w:rsidRDefault="008015C6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8015C6">
              <w:rPr>
                <w:color w:val="C00000"/>
              </w:rPr>
              <w:t>(1</w:t>
            </w:r>
            <w:r w:rsidRPr="008015C6">
              <w:rPr>
                <w:color w:val="C00000"/>
              </w:rPr>
              <w:t>3</w:t>
            </w:r>
            <w:r w:rsidRPr="008015C6">
              <w:rPr>
                <w:color w:val="C00000"/>
              </w:rPr>
              <w:t>)</w:t>
            </w:r>
          </w:p>
        </w:tc>
      </w:tr>
      <w:tr w:rsidR="00355105" w:rsidRPr="008015C6" w14:paraId="0FDE17E2" w14:textId="77777777" w:rsidTr="00CD0EFC">
        <w:tc>
          <w:tcPr>
            <w:tcW w:w="3824" w:type="dxa"/>
            <w:shd w:val="clear" w:color="auto" w:fill="auto"/>
          </w:tcPr>
          <w:p w14:paraId="6B41FDF6" w14:textId="021BB644" w:rsidR="00355105" w:rsidRPr="00355105" w:rsidRDefault="00355105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d=</m:t>
                </m:r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||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5DB8A6A6" w14:textId="39F690AB" w:rsidR="00355105" w:rsidRPr="008015C6" w:rsidRDefault="0035510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>
              <w:rPr>
                <w:color w:val="C00000"/>
              </w:rPr>
              <w:t>(14)</w:t>
            </w:r>
          </w:p>
        </w:tc>
      </w:tr>
    </w:tbl>
    <w:p w14:paraId="6D1C16C6" w14:textId="78A945FD" w:rsidR="00355105" w:rsidRPr="008015C6" w:rsidRDefault="00355105" w:rsidP="00794939">
      <w:pPr>
        <w:pStyle w:val="IEEEBodyText"/>
        <w:ind w:firstLine="0"/>
        <w:rPr>
          <w:color w:val="C00000"/>
          <w:lang w:val="en-CA"/>
        </w:rPr>
      </w:pPr>
      <w:r>
        <w:rPr>
          <w:color w:val="C00000"/>
          <w:lang w:val="en-CA"/>
        </w:rPr>
        <w:t xml:space="preserve">   </w:t>
      </w:r>
    </w:p>
    <w:p w14:paraId="22AA333B" w14:textId="47822E94" w:rsidR="0003079B" w:rsidRPr="008015C6" w:rsidRDefault="0003079B" w:rsidP="0003079B">
      <w:pPr>
        <w:pStyle w:val="IEEEHeading2"/>
        <w:numPr>
          <w:ilvl w:val="0"/>
          <w:numId w:val="0"/>
        </w:numPr>
        <w:spacing w:before="120" w:after="120"/>
        <w:ind w:left="360" w:hanging="360"/>
        <w:rPr>
          <w:i w:val="0"/>
          <w:lang w:val="en-CA"/>
        </w:rPr>
      </w:pPr>
      <w:r w:rsidRPr="008015C6">
        <w:rPr>
          <w:i w:val="0"/>
          <w:lang w:val="en-CA"/>
        </w:rPr>
        <w:t>D. Distance Calculation - Sine Law</w:t>
      </w:r>
    </w:p>
    <w:p w14:paraId="3B711BA6" w14:textId="1E2D52DF" w:rsidR="00000ED8" w:rsidRPr="008015C6" w:rsidRDefault="00000ED8" w:rsidP="00000ED8">
      <w:pPr>
        <w:rPr>
          <w:lang w:val="en-CA"/>
        </w:rPr>
      </w:pPr>
    </w:p>
    <w:p w14:paraId="41D8D561" w14:textId="76DDD836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iv.</w:t>
      </w:r>
      <w:r w:rsidRPr="00FC3F23">
        <w:tab/>
        <w:t>TESTING AND RESULTS</w:t>
      </w:r>
    </w:p>
    <w:p w14:paraId="37BC81CF" w14:textId="3644F317" w:rsidR="00000ED8" w:rsidRPr="000D15AA" w:rsidRDefault="00E35DCD" w:rsidP="00000ED8">
      <w:pPr>
        <w:rPr>
          <w:color w:val="C00000"/>
        </w:rPr>
      </w:pPr>
      <w:r w:rsidRPr="000D15AA">
        <w:rPr>
          <w:color w:val="C00000"/>
        </w:rPr>
        <w:t xml:space="preserve">     The distance calculation algorithms were tested by having the target drive through four waypoints as per figure 3. Two tests were conducted; test 1 with the </w:t>
      </w:r>
      <w:proofErr w:type="spellStart"/>
      <w:r w:rsidRPr="000D15AA">
        <w:rPr>
          <w:color w:val="C00000"/>
        </w:rPr>
        <w:t>wafflebot</w:t>
      </w:r>
      <w:proofErr w:type="spellEnd"/>
      <w:r w:rsidRPr="000D15AA">
        <w:rPr>
          <w:color w:val="C00000"/>
        </w:rPr>
        <w:t xml:space="preserve"> as a stationary observer and test 2 with the </w:t>
      </w:r>
      <w:proofErr w:type="spellStart"/>
      <w:r w:rsidRPr="000D15AA">
        <w:rPr>
          <w:color w:val="C00000"/>
        </w:rPr>
        <w:t>wafflebot</w:t>
      </w:r>
      <w:proofErr w:type="spellEnd"/>
      <w:r w:rsidRPr="000D15AA">
        <w:rPr>
          <w:color w:val="C00000"/>
        </w:rPr>
        <w:t xml:space="preserve"> following the </w:t>
      </w:r>
      <w:proofErr w:type="spellStart"/>
      <w:r w:rsidRPr="000D15AA">
        <w:rPr>
          <w:color w:val="C00000"/>
        </w:rPr>
        <w:t>burgerbot</w:t>
      </w:r>
      <w:proofErr w:type="spellEnd"/>
      <w:r w:rsidRPr="000D15AA">
        <w:rPr>
          <w:color w:val="C00000"/>
        </w:rPr>
        <w:t xml:space="preserve"> at a preset distance. </w:t>
      </w:r>
    </w:p>
    <w:p w14:paraId="0E2E882F" w14:textId="77777777" w:rsidR="00E35DCD" w:rsidRPr="000D15AA" w:rsidRDefault="00E35DCD" w:rsidP="00000ED8">
      <w:pPr>
        <w:rPr>
          <w:color w:val="C00000"/>
        </w:rPr>
      </w:pPr>
    </w:p>
    <w:p w14:paraId="6FC17946" w14:textId="089BF6D2" w:rsidR="00E35DCD" w:rsidRPr="000D15AA" w:rsidRDefault="00E35DCD" w:rsidP="00E35DCD">
      <w:pPr>
        <w:jc w:val="center"/>
        <w:rPr>
          <w:color w:val="C00000"/>
        </w:rPr>
      </w:pPr>
      <w:r w:rsidRPr="000D15AA">
        <w:rPr>
          <w:color w:val="C00000"/>
        </w:rPr>
        <w:drawing>
          <wp:inline distT="0" distB="0" distL="0" distR="0" wp14:anchorId="46EAFA99" wp14:editId="0D54C87C">
            <wp:extent cx="1922584" cy="1673310"/>
            <wp:effectExtent l="0" t="0" r="1905" b="3175"/>
            <wp:docPr id="16" name="Picture 15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2E77A9-7A68-4159-986C-2ACF6904A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502E77A9-7A68-4159-986C-2ACF6904A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0428" r="28440" b="20946"/>
                    <a:stretch/>
                  </pic:blipFill>
                  <pic:spPr>
                    <a:xfrm>
                      <a:off x="0" y="0"/>
                      <a:ext cx="1924664" cy="16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9CF" w14:textId="40648A70" w:rsidR="00E35DCD" w:rsidRPr="000D15AA" w:rsidRDefault="00E35DCD" w:rsidP="00E35DCD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0D15AA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>4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 w:rsidRPr="000D15AA">
        <w:rPr>
          <w:rFonts w:ascii="Times New Roman" w:hAnsi="Times New Roman" w:cs="Times New Roman"/>
          <w:color w:val="C00000"/>
          <w:sz w:val="20"/>
          <w:szCs w:val="20"/>
        </w:rPr>
        <w:t>Test Drive Waypoints</w:t>
      </w:r>
    </w:p>
    <w:p w14:paraId="6979C96E" w14:textId="77777777" w:rsidR="00CD4694" w:rsidRPr="000D15AA" w:rsidRDefault="00E35DCD" w:rsidP="00E35DCD">
      <w:pPr>
        <w:rPr>
          <w:color w:val="C00000"/>
        </w:rPr>
      </w:pPr>
      <w:r w:rsidRPr="000D15AA">
        <w:rPr>
          <w:color w:val="C00000"/>
        </w:rPr>
        <w:t xml:space="preserve">     The results of test 1 are on figure 5. The results of test 2 are on figure 6. Both figures 5 and 6 plot the </w:t>
      </w:r>
      <w:r w:rsidR="002B578D" w:rsidRPr="000D15AA">
        <w:rPr>
          <w:color w:val="C00000"/>
        </w:rPr>
        <w:t>calculated distance from visual</w:t>
      </w:r>
      <w:r w:rsidR="002B578D" w:rsidRPr="000D15AA">
        <w:rPr>
          <w:color w:val="C00000"/>
        </w:rPr>
        <w:t xml:space="preserve"> data</w:t>
      </w:r>
      <w:r w:rsidRPr="000D15AA">
        <w:rPr>
          <w:color w:val="C00000"/>
        </w:rPr>
        <w:t xml:space="preserve">, using methodology described in section IV - C and D, as well as the measured </w:t>
      </w:r>
      <w:r w:rsidR="002B578D" w:rsidRPr="000D15AA">
        <w:rPr>
          <w:color w:val="C00000"/>
        </w:rPr>
        <w:t>distance from</w:t>
      </w:r>
      <w:r w:rsidRPr="000D15AA">
        <w:rPr>
          <w:color w:val="C00000"/>
        </w:rPr>
        <w:t xml:space="preserve"> the </w:t>
      </w:r>
      <w:proofErr w:type="spellStart"/>
      <w:r w:rsidRPr="000D15AA">
        <w:rPr>
          <w:color w:val="C00000"/>
        </w:rPr>
        <w:t>wafflebot’s</w:t>
      </w:r>
      <w:proofErr w:type="spellEnd"/>
      <w:r w:rsidRPr="000D15AA">
        <w:rPr>
          <w:color w:val="C00000"/>
        </w:rPr>
        <w:t xml:space="preserve"> onboard lidar.</w:t>
      </w:r>
    </w:p>
    <w:p w14:paraId="0218E944" w14:textId="77777777" w:rsidR="00CD4694" w:rsidRPr="000D15AA" w:rsidRDefault="00CD4694" w:rsidP="00E35DCD">
      <w:pPr>
        <w:rPr>
          <w:color w:val="C00000"/>
        </w:rPr>
      </w:pPr>
    </w:p>
    <w:p w14:paraId="6B7468F7" w14:textId="302CB557" w:rsidR="002B578D" w:rsidRDefault="00CD4694" w:rsidP="00E35DCD">
      <w:pPr>
        <w:rPr>
          <w:color w:val="C00000"/>
        </w:rPr>
      </w:pPr>
      <w:r w:rsidRPr="000D15AA">
        <w:rPr>
          <w:color w:val="C00000"/>
        </w:rPr>
        <w:t xml:space="preserve">   </w:t>
      </w:r>
      <w:r w:rsidR="00C71B2C" w:rsidRPr="000D15AA">
        <w:rPr>
          <w:color w:val="C00000"/>
        </w:rPr>
        <w:t xml:space="preserve">For test drive 2 a simple proportional controller was used to control the </w:t>
      </w:r>
      <w:proofErr w:type="spellStart"/>
      <w:r w:rsidR="00C71B2C" w:rsidRPr="000D15AA">
        <w:rPr>
          <w:color w:val="C00000"/>
        </w:rPr>
        <w:t>wafflebot’s</w:t>
      </w:r>
      <w:proofErr w:type="spellEnd"/>
      <w:r w:rsidR="00C71B2C" w:rsidRPr="000D15AA">
        <w:rPr>
          <w:color w:val="C00000"/>
        </w:rPr>
        <w:t xml:space="preserve"> position and orientation.</w:t>
      </w:r>
      <w:r w:rsidRPr="000D15AA">
        <w:rPr>
          <w:color w:val="C00000"/>
        </w:rPr>
        <w:t xml:space="preserve"> This constituted a simplified form of visual servoing [10]. The </w:t>
      </w:r>
      <w:proofErr w:type="spellStart"/>
      <w:r w:rsidRPr="000D15AA">
        <w:rPr>
          <w:color w:val="C00000"/>
        </w:rPr>
        <w:t>wafflebot’s</w:t>
      </w:r>
      <w:proofErr w:type="spellEnd"/>
      <w:r w:rsidR="005C3ADD">
        <w:rPr>
          <w:color w:val="C00000"/>
        </w:rPr>
        <w:t xml:space="preserve"> linear</w:t>
      </w:r>
      <w:r w:rsidRPr="000D15AA">
        <w:rPr>
          <w:color w:val="C00000"/>
        </w:rPr>
        <w:t xml:space="preserve"> speed, </w:t>
      </w:r>
      <m:oMath>
        <m:acc>
          <m:accPr>
            <m:chr m:val="̇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x</m:t>
            </m:r>
          </m:e>
        </m:acc>
      </m:oMath>
      <w:r w:rsidRPr="000D15AA">
        <w:rPr>
          <w:color w:val="C00000"/>
        </w:rPr>
        <w:t xml:space="preserve"> was proportional to the distance between it and the target. Where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1</m:t>
            </m:r>
          </m:sub>
        </m:sSub>
      </m:oMath>
      <w:r w:rsidRPr="000D15AA">
        <w:rPr>
          <w:color w:val="C00000"/>
        </w:rPr>
        <w:t xml:space="preserve"> is a control gain and </w:t>
      </w:r>
      <m:oMath>
        <m:r>
          <w:rPr>
            <w:rFonts w:ascii="Cambria Math" w:hAnsi="Cambria Math"/>
            <w:color w:val="C00000"/>
          </w:rPr>
          <m:t>d</m:t>
        </m:r>
      </m:oMath>
      <w:r w:rsidRPr="000D15AA">
        <w:rPr>
          <w:color w:val="C00000"/>
        </w:rPr>
        <w:t xml:space="preserve"> was calculated from (14)</w:t>
      </w:r>
      <w:r w:rsidR="00972C20" w:rsidRPr="000D15AA">
        <w:rPr>
          <w:color w:val="C00000"/>
        </w:rPr>
        <w:t>.</w:t>
      </w:r>
    </w:p>
    <w:p w14:paraId="6EB303D5" w14:textId="77777777" w:rsidR="00E80C23" w:rsidRPr="000D15AA" w:rsidRDefault="00E80C23" w:rsidP="00E35DCD">
      <w:pPr>
        <w:rPr>
          <w:color w:val="C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0D15AA" w:rsidRPr="000D15AA" w14:paraId="09525D1A" w14:textId="77777777" w:rsidTr="00010612">
        <w:tc>
          <w:tcPr>
            <w:tcW w:w="3824" w:type="dxa"/>
            <w:shd w:val="clear" w:color="auto" w:fill="auto"/>
          </w:tcPr>
          <w:p w14:paraId="73C37ADC" w14:textId="110C8D28" w:rsidR="00CD4694" w:rsidRPr="000D15AA" w:rsidRDefault="00972C20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1133" w:type="dxa"/>
            <w:shd w:val="clear" w:color="auto" w:fill="auto"/>
          </w:tcPr>
          <w:p w14:paraId="2D4D4B66" w14:textId="277A4FA5" w:rsidR="00CD4694" w:rsidRPr="000D15AA" w:rsidRDefault="00CD4694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0D15AA">
              <w:rPr>
                <w:color w:val="C00000"/>
              </w:rPr>
              <w:t>(1</w:t>
            </w:r>
            <w:r w:rsidRPr="000D15AA">
              <w:rPr>
                <w:color w:val="C00000"/>
              </w:rPr>
              <w:t>5</w:t>
            </w:r>
            <w:r w:rsidRPr="000D15AA">
              <w:rPr>
                <w:color w:val="C00000"/>
              </w:rPr>
              <w:t>)</w:t>
            </w:r>
          </w:p>
        </w:tc>
      </w:tr>
    </w:tbl>
    <w:p w14:paraId="4119A9BA" w14:textId="77777777" w:rsidR="00CD4694" w:rsidRPr="000D15AA" w:rsidRDefault="00CD4694" w:rsidP="00E35DCD">
      <w:pPr>
        <w:rPr>
          <w:color w:val="C00000"/>
        </w:rPr>
      </w:pPr>
    </w:p>
    <w:p w14:paraId="62588B7D" w14:textId="12A422CB" w:rsidR="00E35DCD" w:rsidRPr="000D15AA" w:rsidRDefault="002B578D" w:rsidP="00E35DCD">
      <w:pPr>
        <w:rPr>
          <w:color w:val="C00000"/>
          <w:sz w:val="18"/>
          <w:szCs w:val="18"/>
        </w:rPr>
      </w:pPr>
      <w:r w:rsidRPr="000D15AA">
        <w:rPr>
          <w:color w:val="C00000"/>
        </w:rPr>
        <w:t xml:space="preserve">    </w:t>
      </w:r>
      <w:r w:rsidR="00972C20" w:rsidRPr="000D15AA">
        <w:rPr>
          <w:color w:val="C00000"/>
        </w:rPr>
        <w:t xml:space="preserve">The </w:t>
      </w:r>
      <w:proofErr w:type="spellStart"/>
      <w:r w:rsidR="00972C20" w:rsidRPr="000D15AA">
        <w:rPr>
          <w:color w:val="C00000"/>
        </w:rPr>
        <w:t>wafflebot’s</w:t>
      </w:r>
      <w:proofErr w:type="spellEnd"/>
      <w:r w:rsidR="00972C20" w:rsidRPr="000D15AA">
        <w:rPr>
          <w:color w:val="C00000"/>
        </w:rPr>
        <w:t xml:space="preserve"> rotational speed</w:t>
      </w:r>
      <w:r w:rsidR="00A47795" w:rsidRPr="000D15AA">
        <w:rPr>
          <w:color w:val="C00000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θ</m:t>
            </m:r>
          </m:e>
        </m:acc>
      </m:oMath>
      <w:r w:rsidR="00972C20" w:rsidRPr="000D15AA">
        <w:rPr>
          <w:color w:val="C00000"/>
        </w:rPr>
        <w:t xml:space="preserve"> was proportional to the angle between it and the target. </w:t>
      </w:r>
      <w:r w:rsidR="00A47795" w:rsidRPr="000D15AA">
        <w:rPr>
          <w:color w:val="C00000"/>
        </w:rPr>
        <w:t xml:space="preserve">This was calculated as the angle between the vector of the </w:t>
      </w:r>
      <w:proofErr w:type="spellStart"/>
      <w:r w:rsidR="00A47795" w:rsidRPr="000D15AA">
        <w:rPr>
          <w:color w:val="C00000"/>
        </w:rPr>
        <w:t>wafflebot’s</w:t>
      </w:r>
      <w:proofErr w:type="spellEnd"/>
      <w:r w:rsidR="00A47795" w:rsidRPr="000D15AA">
        <w:rPr>
          <w:color w:val="C00000"/>
        </w:rPr>
        <w:t xml:space="preserve"> direction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WB</m:t>
            </m:r>
          </m:sub>
        </m:sSub>
      </m:oMath>
      <w:r w:rsidR="00A47795" w:rsidRPr="000D15AA">
        <w:rPr>
          <w:color w:val="C00000"/>
        </w:rPr>
        <w:t xml:space="preserve">, and the unit vector in from the </w:t>
      </w:r>
      <w:proofErr w:type="spellStart"/>
      <w:r w:rsidR="00A47795" w:rsidRPr="000D15AA">
        <w:rPr>
          <w:color w:val="C00000"/>
        </w:rPr>
        <w:t>wafflebot</w:t>
      </w:r>
      <w:proofErr w:type="spellEnd"/>
      <w:r w:rsidR="00A47795" w:rsidRPr="000D15AA">
        <w:rPr>
          <w:color w:val="C00000"/>
        </w:rPr>
        <w:t xml:space="preserve"> to the target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</m:t>
            </m:r>
          </m:sub>
        </m:sSub>
      </m:oMath>
      <w:r w:rsidR="00A47795" w:rsidRPr="000D15AA">
        <w:rPr>
          <w:color w:val="C00000"/>
          <w:sz w:val="18"/>
          <w:szCs w:val="18"/>
        </w:rPr>
        <w:t>:</w:t>
      </w:r>
    </w:p>
    <w:p w14:paraId="0425F1C4" w14:textId="77777777" w:rsidR="00A47795" w:rsidRPr="000D15AA" w:rsidRDefault="00A47795" w:rsidP="00E35DCD">
      <w:pPr>
        <w:rPr>
          <w:color w:val="C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4"/>
        <w:gridCol w:w="1133"/>
      </w:tblGrid>
      <w:tr w:rsidR="000D15AA" w:rsidRPr="000D15AA" w14:paraId="21BD4213" w14:textId="77777777" w:rsidTr="00010612">
        <w:tc>
          <w:tcPr>
            <w:tcW w:w="3824" w:type="dxa"/>
            <w:shd w:val="clear" w:color="auto" w:fill="auto"/>
          </w:tcPr>
          <w:p w14:paraId="28625589" w14:textId="0E742C47" w:rsidR="00A47795" w:rsidRPr="000D15AA" w:rsidRDefault="00A47795" w:rsidP="00010612">
            <w:pPr>
              <w:pStyle w:val="IEEEBodyText"/>
              <w:ind w:firstLine="0"/>
              <w:jc w:val="left"/>
              <w:rPr>
                <w:color w:val="C0000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WB</m:t>
                        </m:r>
                      </m:sub>
                    </m:sSub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000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8"/>
                                    <w:szCs w:val="18"/>
                                  </w:rPr>
                                  <m:t>WB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*|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color w:val="C0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133" w:type="dxa"/>
            <w:shd w:val="clear" w:color="auto" w:fill="auto"/>
          </w:tcPr>
          <w:p w14:paraId="5F783605" w14:textId="74E46DD7" w:rsidR="00A47795" w:rsidRPr="000D15AA" w:rsidRDefault="00A47795" w:rsidP="00010612">
            <w:pPr>
              <w:pStyle w:val="IEEEBodyText"/>
              <w:ind w:right="400" w:firstLine="0"/>
              <w:jc w:val="right"/>
              <w:rPr>
                <w:color w:val="C00000"/>
              </w:rPr>
            </w:pPr>
            <w:r w:rsidRPr="000D15AA">
              <w:rPr>
                <w:color w:val="C00000"/>
              </w:rPr>
              <w:t>(1</w:t>
            </w:r>
            <w:r w:rsidR="00E80C23">
              <w:rPr>
                <w:color w:val="C00000"/>
              </w:rPr>
              <w:t>6</w:t>
            </w:r>
            <w:r w:rsidRPr="000D15AA">
              <w:rPr>
                <w:color w:val="C00000"/>
              </w:rPr>
              <w:t>)</w:t>
            </w:r>
          </w:p>
        </w:tc>
      </w:tr>
    </w:tbl>
    <w:p w14:paraId="3230293F" w14:textId="08F747BE" w:rsidR="00A47795" w:rsidRDefault="00A47795" w:rsidP="00E35DCD">
      <w:pPr>
        <w:rPr>
          <w:color w:val="C0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</m:t>
            </m:r>
          </m:sub>
        </m:sSub>
      </m:oMath>
      <w:r w:rsidRPr="000D15AA">
        <w:rPr>
          <w:color w:val="C00000"/>
          <w:sz w:val="18"/>
          <w:szCs w:val="18"/>
        </w:rPr>
        <w:t xml:space="preserve"> </w:t>
      </w:r>
      <w:r w:rsidR="000D15AA" w:rsidRPr="000D15AA">
        <w:rPr>
          <w:color w:val="C00000"/>
          <w:sz w:val="18"/>
          <w:szCs w:val="18"/>
        </w:rPr>
        <w:t>is</w:t>
      </w:r>
      <w:r w:rsidRPr="000D15AA">
        <w:rPr>
          <w:color w:val="C00000"/>
          <w:sz w:val="18"/>
          <w:szCs w:val="18"/>
        </w:rPr>
        <w:t xml:space="preserve"> obtained from direction calculation and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2</m:t>
            </m:r>
          </m:sub>
        </m:sSub>
      </m:oMath>
      <w:r w:rsidRPr="000D15AA">
        <w:rPr>
          <w:color w:val="C00000"/>
          <w:sz w:val="18"/>
          <w:szCs w:val="18"/>
        </w:rPr>
        <w:t xml:space="preserve"> is a control gain.</w:t>
      </w:r>
      <w:r w:rsidR="000D15AA" w:rsidRPr="000D15AA">
        <w:rPr>
          <w:color w:val="C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C00000"/>
                <w:sz w:val="18"/>
                <w:szCs w:val="18"/>
              </w:rPr>
              <m:t>WB</m:t>
            </m:r>
          </m:sub>
        </m:sSub>
      </m:oMath>
      <w:r w:rsidR="000D15AA" w:rsidRPr="000D15AA">
        <w:rPr>
          <w:color w:val="C00000"/>
          <w:sz w:val="18"/>
          <w:szCs w:val="18"/>
        </w:rPr>
        <w:t xml:space="preserve"> is known from the sensors on the </w:t>
      </w:r>
      <w:proofErr w:type="spellStart"/>
      <w:r w:rsidR="000D15AA" w:rsidRPr="000D15AA">
        <w:rPr>
          <w:color w:val="C00000"/>
          <w:sz w:val="18"/>
          <w:szCs w:val="18"/>
        </w:rPr>
        <w:t>wafflebot</w:t>
      </w:r>
      <w:proofErr w:type="spellEnd"/>
      <w:r w:rsidR="000D15AA" w:rsidRPr="000D15AA">
        <w:rPr>
          <w:color w:val="C00000"/>
          <w:sz w:val="18"/>
          <w:szCs w:val="18"/>
        </w:rPr>
        <w:t>.</w:t>
      </w:r>
    </w:p>
    <w:p w14:paraId="1187F182" w14:textId="77777777" w:rsidR="004A3720" w:rsidRPr="000D15AA" w:rsidRDefault="004A3720" w:rsidP="00E35DCD">
      <w:pPr>
        <w:rPr>
          <w:color w:val="C00000"/>
        </w:rPr>
      </w:pPr>
    </w:p>
    <w:p w14:paraId="4D499EA9" w14:textId="5802D226" w:rsidR="00B91B87" w:rsidRDefault="00B91B87" w:rsidP="00B91B87">
      <w:r w:rsidRPr="00B91B87">
        <w:drawing>
          <wp:inline distT="0" distB="0" distL="0" distR="0" wp14:anchorId="1BA1718F" wp14:editId="07D2C3F0">
            <wp:extent cx="3154045" cy="1845310"/>
            <wp:effectExtent l="19050" t="19050" r="27305" b="21590"/>
            <wp:docPr id="5" name="Picture 9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274BBF-824B-8EFE-B1A1-52D1F6A24C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CF274BBF-824B-8EFE-B1A1-52D1F6A24C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84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F4D22" w14:textId="07FF4756" w:rsidR="00B91B87" w:rsidRPr="001D4D57" w:rsidRDefault="00B91B87" w:rsidP="001D4D57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C00000"/>
          <w:sz w:val="20"/>
          <w:szCs w:val="20"/>
        </w:rPr>
        <w:t>5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C00000"/>
          <w:sz w:val="20"/>
          <w:szCs w:val="20"/>
        </w:rPr>
        <w:t>Distance Measurements for Stationary Trial</w:t>
      </w:r>
    </w:p>
    <w:p w14:paraId="3308337D" w14:textId="77777777" w:rsidR="001D4D57" w:rsidRDefault="001D4D57" w:rsidP="00B91B87"/>
    <w:p w14:paraId="09B26E95" w14:textId="4EBB0180" w:rsidR="00B91B87" w:rsidRDefault="00B91B87" w:rsidP="00B91B87">
      <w:r w:rsidRPr="00B91B87">
        <w:lastRenderedPageBreak/>
        <w:drawing>
          <wp:inline distT="0" distB="0" distL="0" distR="0" wp14:anchorId="18616562" wp14:editId="79035CC0">
            <wp:extent cx="3154045" cy="1864360"/>
            <wp:effectExtent l="19050" t="19050" r="27305" b="21590"/>
            <wp:docPr id="7" name="Picture 6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93A71E-B5C8-4DAF-AF5E-DB63FAF82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8993A71E-B5C8-4DAF-AF5E-DB63FAF82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B544B" w14:textId="04206666" w:rsidR="001D4D57" w:rsidRPr="00563544" w:rsidRDefault="001D4D57" w:rsidP="001D4D57">
      <w:pPr>
        <w:pStyle w:val="IEEEFigureCaption"/>
        <w:spacing w:after="120"/>
        <w:rPr>
          <w:rFonts w:ascii="Times New Roman" w:hAnsi="Times New Roman" w:cs="Times New Roman"/>
          <w:color w:val="C00000"/>
          <w:sz w:val="20"/>
          <w:szCs w:val="20"/>
        </w:rPr>
      </w:pP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C00000"/>
          <w:sz w:val="20"/>
          <w:szCs w:val="20"/>
        </w:rPr>
        <w:t>6</w:t>
      </w:r>
      <w:r w:rsidRPr="004A47A8">
        <w:rPr>
          <w:rFonts w:ascii="Times New Roman" w:hAnsi="Times New Roman" w:cs="Times New Roman"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Distance Measurements for </w:t>
      </w:r>
      <w:r>
        <w:rPr>
          <w:rFonts w:ascii="Times New Roman" w:hAnsi="Times New Roman" w:cs="Times New Roman"/>
          <w:color w:val="C00000"/>
          <w:sz w:val="20"/>
          <w:szCs w:val="20"/>
        </w:rPr>
        <w:t>Leader - Follower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 Trial</w:t>
      </w:r>
    </w:p>
    <w:p w14:paraId="7F0388CC" w14:textId="37C58C1E" w:rsidR="00000ED8" w:rsidRPr="00FC3F23" w:rsidRDefault="00000ED8" w:rsidP="00000ED8">
      <w:pPr>
        <w:pStyle w:val="IEEEHeading1nonumber"/>
        <w:tabs>
          <w:tab w:val="clear" w:pos="0"/>
        </w:tabs>
        <w:spacing w:after="120"/>
        <w:ind w:left="1080"/>
        <w:jc w:val="left"/>
      </w:pPr>
      <w:r w:rsidRPr="00FC3F23">
        <w:t>V.</w:t>
      </w:r>
      <w:r w:rsidRPr="00FC3F23">
        <w:tab/>
        <w:t>DISCUSSION</w:t>
      </w:r>
      <w:r w:rsidR="009A6E1E">
        <w:t xml:space="preserve"> AND CONCLUSION</w:t>
      </w:r>
    </w:p>
    <w:p w14:paraId="6125B014" w14:textId="77777777" w:rsidR="00F047C2" w:rsidRPr="00FC3F23" w:rsidRDefault="00F047C2" w:rsidP="00F047C2">
      <w:r>
        <w:t xml:space="preserve">     From figures 5 and 6 testing, it can be observed that the calculated distances (obtained from section IV - methodology) closely tracked the lidar distance in the stationary trial. However for the leader follower trial, the calculated distances were not entirely consistent with the measured lidar distance.</w:t>
      </w:r>
    </w:p>
    <w:p w14:paraId="1579A64B" w14:textId="53455E90" w:rsidR="00A15F3C" w:rsidRPr="00FC3F23" w:rsidRDefault="00F047C2" w:rsidP="009C6CE1">
      <w:r>
        <w:t xml:space="preserve">  During the leader-follower trial</w:t>
      </w:r>
    </w:p>
    <w:p w14:paraId="37209D5B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2391489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1AC611C2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1DD9F33A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52061B4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DE5C4BE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63D7294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3BC033F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1636C38A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6EE26DA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19E0AC2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0E8BFBE7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0D6C3321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09D129B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7CDB2976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DFD7A13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F86F7E6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162DC51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1B4F10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555F1D02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44370FC6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2D8927AF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5C87C92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BEDA111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095BB29D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2F3A7F30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6FE614A5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33993C8A" w14:textId="77777777" w:rsidR="009D42A2" w:rsidRDefault="009D42A2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</w:p>
    <w:p w14:paraId="08210D92" w14:textId="68B2EF75" w:rsidR="00D3516D" w:rsidRPr="00FC3F23" w:rsidRDefault="00D3516D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  <w:r w:rsidRPr="00FC3F23">
        <w:lastRenderedPageBreak/>
        <w:t>REFERENCES</w:t>
      </w:r>
    </w:p>
    <w:p w14:paraId="0E58E99E" w14:textId="77777777" w:rsidR="004A47A8" w:rsidRPr="004A47A8" w:rsidRDefault="004A47A8" w:rsidP="004A47A8">
      <w:pPr>
        <w:numPr>
          <w:ilvl w:val="0"/>
          <w:numId w:val="8"/>
        </w:numPr>
      </w:pPr>
      <w:r w:rsidRPr="004A47A8">
        <w:rPr>
          <w:lang w:val="en-CA"/>
        </w:rPr>
        <w:t>G. Kim and J. -S. Cho, "Vision-based vehicle detection and inter-vehicle distance estimation," </w:t>
      </w:r>
      <w:r w:rsidRPr="004A47A8">
        <w:rPr>
          <w:i/>
          <w:iCs/>
          <w:lang w:val="en-CA"/>
        </w:rPr>
        <w:t>2012 12th International Conference on Control, Automation and Systems</w:t>
      </w:r>
      <w:r w:rsidRPr="004A47A8">
        <w:rPr>
          <w:lang w:val="en-CA"/>
        </w:rPr>
        <w:t>, 2012, pp. 625-629.</w:t>
      </w:r>
    </w:p>
    <w:p w14:paraId="0407117E" w14:textId="77777777" w:rsidR="004A47A8" w:rsidRPr="004A47A8" w:rsidRDefault="004A47A8" w:rsidP="004A47A8">
      <w:pPr>
        <w:numPr>
          <w:ilvl w:val="0"/>
          <w:numId w:val="8"/>
        </w:numPr>
      </w:pPr>
      <w:proofErr w:type="spellStart"/>
      <w:r w:rsidRPr="004A47A8">
        <w:rPr>
          <w:lang w:val="en-CA"/>
        </w:rPr>
        <w:t>Abdelmoghit</w:t>
      </w:r>
      <w:proofErr w:type="spellEnd"/>
      <w:r w:rsidRPr="004A47A8">
        <w:rPr>
          <w:lang w:val="en-CA"/>
        </w:rPr>
        <w:t xml:space="preserve"> </w:t>
      </w:r>
      <w:proofErr w:type="spellStart"/>
      <w:r w:rsidRPr="004A47A8">
        <w:rPr>
          <w:lang w:val="en-CA"/>
        </w:rPr>
        <w:t>Zaarane</w:t>
      </w:r>
      <w:proofErr w:type="spellEnd"/>
      <w:r w:rsidRPr="004A47A8">
        <w:rPr>
          <w:lang w:val="en-CA"/>
        </w:rPr>
        <w:t xml:space="preserve">, </w:t>
      </w:r>
      <w:proofErr w:type="spellStart"/>
      <w:r w:rsidRPr="004A47A8">
        <w:rPr>
          <w:lang w:val="en-CA"/>
        </w:rPr>
        <w:t>Ibtissam</w:t>
      </w:r>
      <w:proofErr w:type="spellEnd"/>
      <w:r w:rsidRPr="004A47A8">
        <w:rPr>
          <w:lang w:val="en-CA"/>
        </w:rPr>
        <w:t xml:space="preserve"> Slimani, et all, “Distance measurement system for autonomous vehicles using stereo camera,” </w:t>
      </w:r>
      <w:r w:rsidRPr="004A47A8">
        <w:rPr>
          <w:i/>
          <w:iCs/>
          <w:lang w:val="en-CA"/>
        </w:rPr>
        <w:t>Array Volume 5, 2020, 100016, ISSN 2590-0056</w:t>
      </w:r>
    </w:p>
    <w:p w14:paraId="1E36C001" w14:textId="77777777" w:rsidR="004A47A8" w:rsidRPr="004A47A8" w:rsidRDefault="004A47A8" w:rsidP="004A47A8">
      <w:pPr>
        <w:numPr>
          <w:ilvl w:val="0"/>
          <w:numId w:val="8"/>
        </w:numPr>
      </w:pPr>
      <w:r w:rsidRPr="004A47A8">
        <w:rPr>
          <w:lang w:val="en-CA"/>
        </w:rPr>
        <w:t xml:space="preserve">Z. </w:t>
      </w:r>
      <w:proofErr w:type="spellStart"/>
      <w:r w:rsidRPr="004A47A8">
        <w:rPr>
          <w:lang w:val="en-CA"/>
        </w:rPr>
        <w:t>Ziaei</w:t>
      </w:r>
      <w:proofErr w:type="spellEnd"/>
      <w:r w:rsidRPr="004A47A8">
        <w:rPr>
          <w:lang w:val="en-CA"/>
        </w:rPr>
        <w:t xml:space="preserve">, R. </w:t>
      </w:r>
      <w:proofErr w:type="spellStart"/>
      <w:r w:rsidRPr="004A47A8">
        <w:rPr>
          <w:lang w:val="en-CA"/>
        </w:rPr>
        <w:t>Oftadeh</w:t>
      </w:r>
      <w:proofErr w:type="spellEnd"/>
      <w:r w:rsidRPr="004A47A8">
        <w:rPr>
          <w:lang w:val="en-CA"/>
        </w:rPr>
        <w:t xml:space="preserve"> and J. Mattila, "Vision-based path coordination for multiple mobile robots with four steering wheels using an overhead camera," </w:t>
      </w:r>
      <w:r w:rsidRPr="004A47A8">
        <w:rPr>
          <w:i/>
          <w:iCs/>
          <w:lang w:val="en-CA"/>
        </w:rPr>
        <w:t>2015 IEEE International Conference on Advanced Intelligent Mechatronics (AIM)</w:t>
      </w:r>
      <w:r w:rsidRPr="004A47A8">
        <w:rPr>
          <w:lang w:val="en-CA"/>
        </w:rPr>
        <w:t xml:space="preserve">, 2015, pp. 261-268, </w:t>
      </w:r>
      <w:proofErr w:type="spellStart"/>
      <w:r w:rsidRPr="004A47A8">
        <w:rPr>
          <w:lang w:val="en-CA"/>
        </w:rPr>
        <w:t>doi</w:t>
      </w:r>
      <w:proofErr w:type="spellEnd"/>
      <w:r w:rsidRPr="004A47A8">
        <w:rPr>
          <w:lang w:val="en-CA"/>
        </w:rPr>
        <w:t>: 10.1109/AIM.2015.7222542.</w:t>
      </w:r>
    </w:p>
    <w:p w14:paraId="3570A6CD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 xml:space="preserve">Y. </w:t>
      </w:r>
      <w:proofErr w:type="spellStart"/>
      <w:r w:rsidRPr="004A47A8">
        <w:rPr>
          <w:lang w:val="en-CA"/>
        </w:rPr>
        <w:t>Shima</w:t>
      </w:r>
      <w:proofErr w:type="spellEnd"/>
      <w:r w:rsidRPr="004A47A8">
        <w:rPr>
          <w:lang w:val="en-CA"/>
        </w:rPr>
        <w:t xml:space="preserve">, "Inter-vehicle distance detection based on </w:t>
      </w:r>
      <w:proofErr w:type="spellStart"/>
      <w:r w:rsidRPr="004A47A8">
        <w:rPr>
          <w:lang w:val="en-CA"/>
        </w:rPr>
        <w:t>keypoint</w:t>
      </w:r>
      <w:proofErr w:type="spellEnd"/>
      <w:r w:rsidRPr="004A47A8">
        <w:rPr>
          <w:lang w:val="en-CA"/>
        </w:rPr>
        <w:t xml:space="preserve"> matching for stereo images," </w:t>
      </w:r>
      <w:r w:rsidRPr="004A47A8">
        <w:rPr>
          <w:i/>
          <w:iCs/>
          <w:lang w:val="en-CA"/>
        </w:rPr>
        <w:t xml:space="preserve">2017 10th International Congress on Image and Signal Processing, </w:t>
      </w:r>
      <w:proofErr w:type="spellStart"/>
      <w:r w:rsidRPr="004A47A8">
        <w:rPr>
          <w:i/>
          <w:iCs/>
          <w:lang w:val="en-CA"/>
        </w:rPr>
        <w:t>BioMedical</w:t>
      </w:r>
      <w:proofErr w:type="spellEnd"/>
      <w:r w:rsidRPr="004A47A8">
        <w:rPr>
          <w:i/>
          <w:iCs/>
          <w:lang w:val="en-CA"/>
        </w:rPr>
        <w:t xml:space="preserve"> Engineering and Informatics (CISP-BMEI)</w:t>
      </w:r>
      <w:r w:rsidRPr="004A47A8">
        <w:rPr>
          <w:lang w:val="en-CA"/>
        </w:rPr>
        <w:t xml:space="preserve">, 2017, pp. 1-6, </w:t>
      </w:r>
      <w:proofErr w:type="spellStart"/>
      <w:r w:rsidRPr="004A47A8">
        <w:rPr>
          <w:lang w:val="en-CA"/>
        </w:rPr>
        <w:t>doi</w:t>
      </w:r>
      <w:proofErr w:type="spellEnd"/>
      <w:r w:rsidRPr="004A47A8">
        <w:rPr>
          <w:lang w:val="en-CA"/>
        </w:rPr>
        <w:t>: 10.1109/CISP-BMEI.2017.8302064.</w:t>
      </w:r>
    </w:p>
    <w:p w14:paraId="3DBBE868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 xml:space="preserve">M. T. Bui, R. </w:t>
      </w:r>
      <w:proofErr w:type="spellStart"/>
      <w:r w:rsidRPr="004A47A8">
        <w:rPr>
          <w:lang w:val="en-CA"/>
        </w:rPr>
        <w:t>Doskocil</w:t>
      </w:r>
      <w:proofErr w:type="spellEnd"/>
      <w:r w:rsidRPr="004A47A8">
        <w:rPr>
          <w:lang w:val="en-CA"/>
        </w:rPr>
        <w:t xml:space="preserve"> and V. </w:t>
      </w:r>
      <w:proofErr w:type="spellStart"/>
      <w:r w:rsidRPr="004A47A8">
        <w:rPr>
          <w:lang w:val="en-CA"/>
        </w:rPr>
        <w:t>Krivanek</w:t>
      </w:r>
      <w:proofErr w:type="spellEnd"/>
      <w:r w:rsidRPr="004A47A8">
        <w:rPr>
          <w:lang w:val="en-CA"/>
        </w:rPr>
        <w:t>, "Distance and angle measurement using monocular vision," </w:t>
      </w:r>
      <w:r w:rsidRPr="004A47A8">
        <w:rPr>
          <w:i/>
          <w:iCs/>
          <w:lang w:val="en-CA"/>
        </w:rPr>
        <w:t xml:space="preserve">2018 18th International Conference on Mechatronics - </w:t>
      </w:r>
      <w:proofErr w:type="spellStart"/>
      <w:r w:rsidRPr="004A47A8">
        <w:rPr>
          <w:i/>
          <w:iCs/>
          <w:lang w:val="en-CA"/>
        </w:rPr>
        <w:t>Mechatronika</w:t>
      </w:r>
      <w:proofErr w:type="spellEnd"/>
      <w:r w:rsidRPr="004A47A8">
        <w:rPr>
          <w:i/>
          <w:iCs/>
          <w:lang w:val="en-CA"/>
        </w:rPr>
        <w:t xml:space="preserve"> (ME)</w:t>
      </w:r>
      <w:r w:rsidRPr="004A47A8">
        <w:rPr>
          <w:lang w:val="en-CA"/>
        </w:rPr>
        <w:t>, 2018, pp. 1-6.</w:t>
      </w:r>
    </w:p>
    <w:p w14:paraId="6CCFA0C4" w14:textId="77777777" w:rsidR="004A47A8" w:rsidRP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 xml:space="preserve">P. </w:t>
      </w:r>
      <w:proofErr w:type="spellStart"/>
      <w:r w:rsidRPr="004A47A8">
        <w:rPr>
          <w:lang w:val="en-CA"/>
        </w:rPr>
        <w:t>Avanzini</w:t>
      </w:r>
      <w:proofErr w:type="spellEnd"/>
      <w:r w:rsidRPr="004A47A8">
        <w:rPr>
          <w:lang w:val="en-CA"/>
        </w:rPr>
        <w:t xml:space="preserve">, B. </w:t>
      </w:r>
      <w:proofErr w:type="spellStart"/>
      <w:r w:rsidRPr="004A47A8">
        <w:rPr>
          <w:lang w:val="en-CA"/>
        </w:rPr>
        <w:t>Thuilot</w:t>
      </w:r>
      <w:proofErr w:type="spellEnd"/>
      <w:r w:rsidRPr="004A47A8">
        <w:rPr>
          <w:lang w:val="en-CA"/>
        </w:rPr>
        <w:t xml:space="preserve"> and P. Martinet, "Accurate platoon control of urban vehicles, based solely on monocular vision," </w:t>
      </w:r>
      <w:r w:rsidRPr="004A47A8">
        <w:rPr>
          <w:i/>
          <w:iCs/>
          <w:lang w:val="en-CA"/>
        </w:rPr>
        <w:t>2010 IEEE/RSJ International Conference on Intelligent Robots and Systems</w:t>
      </w:r>
      <w:r w:rsidRPr="004A47A8">
        <w:rPr>
          <w:lang w:val="en-CA"/>
        </w:rPr>
        <w:t xml:space="preserve">, 2010, pp. 6077-6082, </w:t>
      </w:r>
      <w:proofErr w:type="spellStart"/>
      <w:r w:rsidRPr="004A47A8">
        <w:rPr>
          <w:lang w:val="en-CA"/>
        </w:rPr>
        <w:t>doi</w:t>
      </w:r>
      <w:proofErr w:type="spellEnd"/>
      <w:r w:rsidRPr="004A47A8">
        <w:rPr>
          <w:lang w:val="en-CA"/>
        </w:rPr>
        <w:t>: 10.1109/IROS.2010.5650018.</w:t>
      </w:r>
    </w:p>
    <w:p w14:paraId="745767E0" w14:textId="0848B987" w:rsidR="004A47A8" w:rsidRDefault="004A47A8" w:rsidP="004A47A8">
      <w:pPr>
        <w:numPr>
          <w:ilvl w:val="0"/>
          <w:numId w:val="8"/>
        </w:numPr>
        <w:rPr>
          <w:lang w:val="en-CA"/>
        </w:rPr>
      </w:pPr>
      <w:r w:rsidRPr="004A47A8">
        <w:rPr>
          <w:lang w:val="en-CA"/>
        </w:rPr>
        <w:t>C. J. R. McCook and J. M. Esposito, "Flocking for Heterogeneous Robot Swarms: A Military Convoy Scenario," </w:t>
      </w:r>
      <w:r w:rsidRPr="004A47A8">
        <w:rPr>
          <w:i/>
          <w:iCs/>
          <w:lang w:val="en-CA"/>
        </w:rPr>
        <w:t>2007 Thirty-Ninth Southeastern Symposium on System Theory</w:t>
      </w:r>
      <w:r w:rsidRPr="004A47A8">
        <w:rPr>
          <w:lang w:val="en-CA"/>
        </w:rPr>
        <w:t xml:space="preserve">, 2007, pp. 26-31, </w:t>
      </w:r>
      <w:proofErr w:type="spellStart"/>
      <w:r w:rsidRPr="004A47A8">
        <w:rPr>
          <w:lang w:val="en-CA"/>
        </w:rPr>
        <w:t>doi</w:t>
      </w:r>
      <w:proofErr w:type="spellEnd"/>
      <w:r w:rsidRPr="004A47A8">
        <w:rPr>
          <w:lang w:val="en-CA"/>
        </w:rPr>
        <w:t>: 10.1109/SSST.2007.352311.</w:t>
      </w:r>
    </w:p>
    <w:p w14:paraId="6902302E" w14:textId="3C8152DA" w:rsidR="00EC3FC1" w:rsidRDefault="00EC3FC1" w:rsidP="004A47A8">
      <w:pPr>
        <w:numPr>
          <w:ilvl w:val="0"/>
          <w:numId w:val="8"/>
        </w:numPr>
        <w:rPr>
          <w:lang w:val="en-CA"/>
        </w:rPr>
      </w:pPr>
      <w:r w:rsidRPr="00EC3FC1">
        <w:rPr>
          <w:lang w:val="en-CA"/>
        </w:rPr>
        <w:t xml:space="preserve">J. Li, J. Wang and J. Mao, "Color moving object detection method based on automatic color clustering," Proceedings of the 33rd Chinese Control Conference, 2014, pp. 7232-7235, </w:t>
      </w:r>
      <w:proofErr w:type="spellStart"/>
      <w:r w:rsidRPr="00EC3FC1">
        <w:rPr>
          <w:lang w:val="en-CA"/>
        </w:rPr>
        <w:t>doi</w:t>
      </w:r>
      <w:proofErr w:type="spellEnd"/>
      <w:r w:rsidRPr="00EC3FC1">
        <w:rPr>
          <w:lang w:val="en-CA"/>
        </w:rPr>
        <w:t>: 10.1109/ChiCC.2014.6896196.</w:t>
      </w:r>
    </w:p>
    <w:p w14:paraId="4854503C" w14:textId="4B38B7B6" w:rsidR="00EC3FC1" w:rsidRDefault="00B669B2" w:rsidP="004A47A8">
      <w:pPr>
        <w:numPr>
          <w:ilvl w:val="0"/>
          <w:numId w:val="8"/>
        </w:numPr>
        <w:rPr>
          <w:lang w:val="en-CA"/>
        </w:rPr>
      </w:pPr>
      <w:r w:rsidRPr="00B669B2">
        <w:rPr>
          <w:lang w:val="en-CA"/>
        </w:rPr>
        <w:t xml:space="preserve">A. N. </w:t>
      </w:r>
      <w:proofErr w:type="spellStart"/>
      <w:r w:rsidRPr="00B669B2">
        <w:rPr>
          <w:lang w:val="en-CA"/>
        </w:rPr>
        <w:t>Fitriana</w:t>
      </w:r>
      <w:proofErr w:type="spellEnd"/>
      <w:r w:rsidRPr="00B669B2">
        <w:rPr>
          <w:lang w:val="en-CA"/>
        </w:rPr>
        <w:t xml:space="preserve">, K. </w:t>
      </w:r>
      <w:proofErr w:type="spellStart"/>
      <w:r w:rsidRPr="00B669B2">
        <w:rPr>
          <w:lang w:val="en-CA"/>
        </w:rPr>
        <w:t>Mutijarsa</w:t>
      </w:r>
      <w:proofErr w:type="spellEnd"/>
      <w:r w:rsidRPr="00B669B2">
        <w:rPr>
          <w:lang w:val="en-CA"/>
        </w:rPr>
        <w:t xml:space="preserve"> and W. </w:t>
      </w:r>
      <w:proofErr w:type="spellStart"/>
      <w:r w:rsidRPr="00B669B2">
        <w:rPr>
          <w:lang w:val="en-CA"/>
        </w:rPr>
        <w:t>Adiprawita</w:t>
      </w:r>
      <w:proofErr w:type="spellEnd"/>
      <w:r w:rsidRPr="00B669B2">
        <w:rPr>
          <w:lang w:val="en-CA"/>
        </w:rPr>
        <w:t xml:space="preserve">, "Color-based segmentation and feature detection for ball and goal post on mobile soccer robot game field," 2016 International Conference on Information Technology Systems and Innovation (ICITSI), 2016, pp. 1-4, </w:t>
      </w:r>
      <w:proofErr w:type="spellStart"/>
      <w:r w:rsidRPr="00B669B2">
        <w:rPr>
          <w:lang w:val="en-CA"/>
        </w:rPr>
        <w:t>doi</w:t>
      </w:r>
      <w:proofErr w:type="spellEnd"/>
      <w:r w:rsidRPr="00B669B2">
        <w:rPr>
          <w:lang w:val="en-CA"/>
        </w:rPr>
        <w:t>: 10.1109/ICITSI.2016.7858232.</w:t>
      </w:r>
    </w:p>
    <w:p w14:paraId="16F85A76" w14:textId="1066CA26" w:rsidR="00A8345E" w:rsidRDefault="00CD4694" w:rsidP="00CD4694">
      <w:pPr>
        <w:ind w:left="720" w:hanging="360"/>
        <w:rPr>
          <w:lang w:val="en-CA"/>
        </w:rPr>
      </w:pPr>
      <w:r>
        <w:rPr>
          <w:lang w:val="en-CA"/>
        </w:rPr>
        <w:t xml:space="preserve">[10]  </w:t>
      </w:r>
      <w:r w:rsidRPr="00CD4694">
        <w:rPr>
          <w:lang w:val="en-CA"/>
        </w:rPr>
        <w:t xml:space="preserve">H. </w:t>
      </w:r>
      <w:proofErr w:type="spellStart"/>
      <w:r w:rsidRPr="00CD4694">
        <w:rPr>
          <w:lang w:val="en-CA"/>
        </w:rPr>
        <w:t>Mekki</w:t>
      </w:r>
      <w:proofErr w:type="spellEnd"/>
      <w:r w:rsidRPr="00CD4694">
        <w:rPr>
          <w:lang w:val="en-CA"/>
        </w:rPr>
        <w:t xml:space="preserve"> and M. </w:t>
      </w:r>
      <w:proofErr w:type="spellStart"/>
      <w:r w:rsidRPr="00CD4694">
        <w:rPr>
          <w:lang w:val="en-CA"/>
        </w:rPr>
        <w:t>Letaief</w:t>
      </w:r>
      <w:proofErr w:type="spellEnd"/>
      <w:r w:rsidRPr="00CD4694">
        <w:rPr>
          <w:lang w:val="en-CA"/>
        </w:rPr>
        <w:t xml:space="preserve">, "Path planning for 3D visual servoing: For a wheeled mobile robot," 2013 International Conference on Individual and Collective Behaviors in Robotics (ICBR), 2013, pp. 86-91, </w:t>
      </w:r>
      <w:proofErr w:type="spellStart"/>
      <w:r w:rsidRPr="00CD4694">
        <w:rPr>
          <w:lang w:val="en-CA"/>
        </w:rPr>
        <w:t>doi</w:t>
      </w:r>
      <w:proofErr w:type="spellEnd"/>
      <w:r w:rsidRPr="00CD4694">
        <w:rPr>
          <w:lang w:val="en-CA"/>
        </w:rPr>
        <w:t>: 10.1109/ICBR.2013.6729262.</w:t>
      </w:r>
      <w:r w:rsidR="00A8345E" w:rsidRPr="00B669B2">
        <w:rPr>
          <w:lang w:val="en-CA"/>
        </w:rPr>
        <w:t>.</w:t>
      </w:r>
    </w:p>
    <w:p w14:paraId="50B32906" w14:textId="77777777" w:rsidR="00A8345E" w:rsidRDefault="00A8345E" w:rsidP="00A8345E">
      <w:pPr>
        <w:ind w:left="720"/>
        <w:rPr>
          <w:lang w:val="en-CA"/>
        </w:rPr>
      </w:pPr>
    </w:p>
    <w:p w14:paraId="59EC9410" w14:textId="77777777" w:rsidR="00A8345E" w:rsidRDefault="00A8345E" w:rsidP="00A8345E">
      <w:pPr>
        <w:ind w:left="720"/>
        <w:rPr>
          <w:lang w:val="en-CA"/>
        </w:rPr>
      </w:pPr>
    </w:p>
    <w:p w14:paraId="690D59CF" w14:textId="77777777" w:rsidR="00A8345E" w:rsidRPr="004A47A8" w:rsidRDefault="00A8345E" w:rsidP="00A8345E">
      <w:pPr>
        <w:ind w:left="720"/>
        <w:rPr>
          <w:lang w:val="en-CA"/>
        </w:rPr>
      </w:pPr>
    </w:p>
    <w:p w14:paraId="6EC8B3A0" w14:textId="77777777" w:rsidR="00D3516D" w:rsidRPr="004A47A8" w:rsidRDefault="00D3516D">
      <w:pPr>
        <w:rPr>
          <w:lang w:val="en-CA"/>
        </w:rPr>
      </w:pPr>
    </w:p>
    <w:sectPr w:rsidR="00D3516D" w:rsidRPr="004A47A8" w:rsidSect="00EC3F7C">
      <w:type w:val="continuous"/>
      <w:pgSz w:w="12240" w:h="15840" w:code="1"/>
      <w:pgMar w:top="1440" w:right="1009" w:bottom="1440" w:left="1009" w:header="709" w:footer="709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F8BD" w14:textId="77777777" w:rsidR="00402F0E" w:rsidRDefault="00402F0E">
      <w:r>
        <w:separator/>
      </w:r>
    </w:p>
  </w:endnote>
  <w:endnote w:type="continuationSeparator" w:id="0">
    <w:p w14:paraId="1372BB4E" w14:textId="77777777" w:rsidR="00402F0E" w:rsidRDefault="0040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EC3F7C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EC3F7C" w:rsidRDefault="00EC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4B11" w14:textId="77777777" w:rsidR="00402F0E" w:rsidRDefault="00402F0E">
      <w:r>
        <w:separator/>
      </w:r>
    </w:p>
  </w:footnote>
  <w:footnote w:type="continuationSeparator" w:id="0">
    <w:p w14:paraId="33ED7206" w14:textId="77777777" w:rsidR="00402F0E" w:rsidRDefault="00402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 – Machine Vision</w:t>
    </w:r>
  </w:p>
  <w:p w14:paraId="0B5671A7" w14:textId="77777777" w:rsidR="00EC3F7C" w:rsidRPr="00080006" w:rsidRDefault="00D3516D" w:rsidP="00EC3F7C">
    <w:pPr>
      <w:pStyle w:val="IEEEFirstHeader"/>
      <w:rPr>
        <w:rFonts w:ascii="Times New Roman" w:hAnsi="Times New Roman" w:cs="Times New Roman"/>
      </w:rPr>
    </w:pPr>
    <w:proofErr w:type="spellStart"/>
    <w:r w:rsidRPr="00080006">
      <w:rPr>
        <w:rFonts w:ascii="Times New Roman" w:hAnsi="Times New Roman" w:cs="Times New Roman"/>
      </w:rPr>
      <w:t>UOttawa</w:t>
    </w:r>
    <w:proofErr w:type="spellEnd"/>
    <w:r w:rsidRPr="00080006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65D"/>
    <w:multiLevelType w:val="hybridMultilevel"/>
    <w:tmpl w:val="CFA812EA"/>
    <w:lvl w:ilvl="0" w:tplc="CD64EE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1CF2A32"/>
    <w:multiLevelType w:val="hybridMultilevel"/>
    <w:tmpl w:val="3F724C4E"/>
    <w:lvl w:ilvl="0" w:tplc="4F307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A581E12"/>
    <w:multiLevelType w:val="hybridMultilevel"/>
    <w:tmpl w:val="FD6805D4"/>
    <w:lvl w:ilvl="0" w:tplc="04EA01F0">
      <w:start w:val="1"/>
      <w:numFmt w:val="decimal"/>
      <w:lvlText w:val="[%1]"/>
      <w:lvlJc w:val="left"/>
      <w:pPr>
        <w:ind w:left="720" w:hanging="360"/>
      </w:pPr>
      <w:rPr>
        <w:rFonts w:hint="default"/>
        <w:sz w:val="22"/>
        <w:szCs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76A157F3"/>
    <w:multiLevelType w:val="hybridMultilevel"/>
    <w:tmpl w:val="E2FC64AE"/>
    <w:lvl w:ilvl="0" w:tplc="6A5822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000ED8"/>
    <w:rsid w:val="00026F0F"/>
    <w:rsid w:val="0003079B"/>
    <w:rsid w:val="00070AB3"/>
    <w:rsid w:val="000714C4"/>
    <w:rsid w:val="000D15AA"/>
    <w:rsid w:val="000D2ADC"/>
    <w:rsid w:val="000E26D7"/>
    <w:rsid w:val="0014185D"/>
    <w:rsid w:val="001D4D57"/>
    <w:rsid w:val="0027342F"/>
    <w:rsid w:val="002838AA"/>
    <w:rsid w:val="002B578D"/>
    <w:rsid w:val="002C607A"/>
    <w:rsid w:val="002F42F9"/>
    <w:rsid w:val="00310FD1"/>
    <w:rsid w:val="00355105"/>
    <w:rsid w:val="003B57E2"/>
    <w:rsid w:val="00402F0E"/>
    <w:rsid w:val="00433E14"/>
    <w:rsid w:val="004656B1"/>
    <w:rsid w:val="004A3720"/>
    <w:rsid w:val="004A47A8"/>
    <w:rsid w:val="00563544"/>
    <w:rsid w:val="005A62D6"/>
    <w:rsid w:val="005C3ADD"/>
    <w:rsid w:val="0062553A"/>
    <w:rsid w:val="00781215"/>
    <w:rsid w:val="00794939"/>
    <w:rsid w:val="007F5452"/>
    <w:rsid w:val="007F7042"/>
    <w:rsid w:val="008015C6"/>
    <w:rsid w:val="0086158D"/>
    <w:rsid w:val="00891760"/>
    <w:rsid w:val="00941D4A"/>
    <w:rsid w:val="00972C20"/>
    <w:rsid w:val="009936F1"/>
    <w:rsid w:val="00994C09"/>
    <w:rsid w:val="009A6E1E"/>
    <w:rsid w:val="009C6CE1"/>
    <w:rsid w:val="009D1905"/>
    <w:rsid w:val="009D42A2"/>
    <w:rsid w:val="00A15F3C"/>
    <w:rsid w:val="00A47795"/>
    <w:rsid w:val="00A8345E"/>
    <w:rsid w:val="00AA342F"/>
    <w:rsid w:val="00AD263C"/>
    <w:rsid w:val="00B45E46"/>
    <w:rsid w:val="00B669B2"/>
    <w:rsid w:val="00B91B87"/>
    <w:rsid w:val="00BC3E34"/>
    <w:rsid w:val="00BC46A2"/>
    <w:rsid w:val="00C6766C"/>
    <w:rsid w:val="00C71B2C"/>
    <w:rsid w:val="00CA164F"/>
    <w:rsid w:val="00CD0EFC"/>
    <w:rsid w:val="00CD4694"/>
    <w:rsid w:val="00CD4E4B"/>
    <w:rsid w:val="00D173FE"/>
    <w:rsid w:val="00D3516D"/>
    <w:rsid w:val="00D8231A"/>
    <w:rsid w:val="00D91B4A"/>
    <w:rsid w:val="00DD5961"/>
    <w:rsid w:val="00E145FC"/>
    <w:rsid w:val="00E35DCD"/>
    <w:rsid w:val="00E71A45"/>
    <w:rsid w:val="00E80C23"/>
    <w:rsid w:val="00E85176"/>
    <w:rsid w:val="00E93AD9"/>
    <w:rsid w:val="00EC3F7C"/>
    <w:rsid w:val="00EC3FC1"/>
    <w:rsid w:val="00F047C2"/>
    <w:rsid w:val="00F106A9"/>
    <w:rsid w:val="00FB2EA1"/>
    <w:rsid w:val="00FC3F23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5FC7"/>
  <w15:docId w15:val="{320AE304-9E72-40FE-8A97-1949BB4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4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E4B"/>
  </w:style>
  <w:style w:type="character" w:customStyle="1" w:styleId="CommentTextChar">
    <w:name w:val="Comment Text Char"/>
    <w:basedOn w:val="DefaultParagraphFont"/>
    <w:link w:val="CommentText"/>
    <w:uiPriority w:val="99"/>
    <w:rsid w:val="00CD4E4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E4B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E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7A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D2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C395C2-1B44-47CC-9208-37FDFFB6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10</cp:revision>
  <cp:lastPrinted>2022-04-02T21:29:00Z</cp:lastPrinted>
  <dcterms:created xsi:type="dcterms:W3CDTF">2022-04-02T21:24:00Z</dcterms:created>
  <dcterms:modified xsi:type="dcterms:W3CDTF">2022-04-03T02:17:00Z</dcterms:modified>
</cp:coreProperties>
</file>