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4C346218"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of Covid-19.</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w:t>
      </w:r>
      <w:r w:rsidR="00612148">
        <w:rPr>
          <w:rFonts w:cs="Calibri"/>
          <w:lang w:val="en-US" w:eastAsia="de-DE"/>
        </w:rPr>
        <w:t xml:space="preserve"> uncle, cousin, nephew, sibling</w:t>
      </w:r>
      <w:r w:rsidR="004D04E7">
        <w:rPr>
          <w:rFonts w:cs="Calibri"/>
          <w:lang w:val="en-US" w:eastAsia="de-DE"/>
        </w:rPr>
        <w:t>,</w:t>
      </w:r>
      <w:r w:rsidR="00FC0CA5">
        <w:rPr>
          <w:rFonts w:cs="Calibri"/>
          <w:lang w:val="en-US" w:eastAsia="de-DE"/>
        </w:rPr>
        <w:t xml:space="preserve">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186F2B">
        <w:rPr>
          <w:rFonts w:cs="Calibri"/>
          <w:lang w:val="en-US" w:eastAsia="de-DE"/>
        </w:rPr>
        <w:t xml:space="preserve">, such as </w:t>
      </w:r>
      <w:r w:rsidR="00844880">
        <w:rPr>
          <w:rFonts w:cs="Calibri"/>
          <w:lang w:val="en-US" w:eastAsia="de-DE"/>
        </w:rPr>
        <w:t xml:space="preserve">grief and </w:t>
      </w:r>
      <w:r w:rsidR="00186F2B">
        <w:rPr>
          <w:rFonts w:cs="Calibri"/>
          <w:lang w:val="en-US" w:eastAsia="de-DE"/>
        </w:rPr>
        <w:t>depression</w:t>
      </w:r>
      <w:r w:rsidR="002145E3">
        <w:rPr>
          <w:rFonts w:cs="Calibri"/>
          <w:lang w:val="en-US" w:eastAsia="de-DE"/>
        </w:rPr>
        <w:t>.</w:t>
      </w:r>
      <w:r w:rsidR="007D56C4">
        <w:rPr>
          <w:rFonts w:cs="Calibri"/>
          <w:lang w:val="en-US" w:eastAsia="de-DE"/>
        </w:rPr>
        <w:t xml:space="preserve"> </w:t>
      </w:r>
      <w:r w:rsidR="003A2390">
        <w:rPr>
          <w:rFonts w:cs="Calibri"/>
          <w:lang w:val="en-US" w:eastAsia="de-DE"/>
        </w:rPr>
        <w:t xml:space="preserve">We </w:t>
      </w:r>
      <w:r w:rsidR="000678F3">
        <w:rPr>
          <w:rFonts w:cs="Calibri"/>
          <w:lang w:val="en-US" w:eastAsia="de-DE"/>
        </w:rPr>
        <w:t xml:space="preserve">will use the latest available data to estimate the impact of bereavement on the well-being of people </w:t>
      </w:r>
      <w:r w:rsidR="00761F89">
        <w:rPr>
          <w:rFonts w:cs="Calibri"/>
          <w:lang w:val="en-US" w:eastAsia="de-DE"/>
        </w:rPr>
        <w:t>by age and sex</w:t>
      </w:r>
      <w:r w:rsidR="00761F89">
        <w:rPr>
          <w:rFonts w:cs="Calibri"/>
          <w:lang w:val="en-US" w:eastAsia="de-DE"/>
        </w:rPr>
        <w:t xml:space="preserve"> </w:t>
      </w:r>
      <w:r w:rsidR="000678F3">
        <w:rPr>
          <w:rFonts w:cs="Calibri"/>
          <w:lang w:val="en-US" w:eastAsia="de-DE"/>
        </w:rPr>
        <w:t xml:space="preserve">in </w:t>
      </w:r>
      <w:r w:rsidR="00AB22CB">
        <w:rPr>
          <w:rFonts w:cs="Calibri"/>
          <w:lang w:val="en-US" w:eastAsia="de-DE"/>
        </w:rPr>
        <w:t>13</w:t>
      </w:r>
      <w:r w:rsidR="000678F3">
        <w:rPr>
          <w:rFonts w:cs="Calibri"/>
          <w:lang w:val="en-US" w:eastAsia="de-DE"/>
        </w:rPr>
        <w:t xml:space="preserve"> 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Building on Obj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AC557A9"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0E7354">
        <w:rPr>
          <w:rFonts w:cs="Calibri"/>
          <w:lang w:val="en-US" w:eastAsia="de-DE"/>
        </w:rPr>
        <w:t>This will</w:t>
      </w:r>
      <w:r w:rsidR="000914B4">
        <w:rPr>
          <w:rFonts w:cs="Calibri"/>
          <w:lang w:val="en-US" w:eastAsia="de-DE"/>
        </w:rPr>
        <w:t xml:space="preserve">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5FA17995" w14:textId="77777777" w:rsidR="002A2462" w:rsidRDefault="002A2462" w:rsidP="002A2462">
      <w:pPr>
        <w:spacing w:after="60" w:line="240" w:lineRule="auto"/>
        <w:jc w:val="both"/>
        <w:rPr>
          <w:rFonts w:cs="Calibri"/>
          <w:lang w:val="en-US" w:eastAsia="de-DE"/>
        </w:rPr>
      </w:pPr>
      <w:r>
        <w:rPr>
          <w:rFonts w:cs="Calibri"/>
          <w:lang w:val="en-US" w:eastAsia="de-DE"/>
        </w:rPr>
        <w:lastRenderedPageBreak/>
        <w:t>As a first step, w</w:t>
      </w:r>
      <w:r w:rsidRPr="00404EA5">
        <w:rPr>
          <w:rFonts w:cs="Calibri"/>
          <w:lang w:val="en-US" w:eastAsia="de-DE"/>
        </w:rPr>
        <w:t xml:space="preserve">e </w:t>
      </w:r>
      <w:r>
        <w:rPr>
          <w:rFonts w:cs="Calibri"/>
          <w:lang w:val="en-US" w:eastAsia="de-DE"/>
        </w:rPr>
        <w:t xml:space="preserve">will build on our previous cutting-edge work </w:t>
      </w:r>
      <w:r>
        <w:rPr>
          <w:rFonts w:cs="Calibri"/>
          <w:lang w:val="en-US" w:eastAsia="de-DE"/>
        </w:rPr>
        <w:fldChar w:fldCharType="begin"/>
      </w:r>
      <w:r>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Pr>
          <w:rFonts w:cs="Calibri"/>
          <w:lang w:val="en-US" w:eastAsia="de-DE"/>
        </w:rPr>
        <w:fldChar w:fldCharType="separate"/>
      </w:r>
      <w:r w:rsidRPr="005B6D6D">
        <w:rPr>
          <w:rFonts w:cs="Arial"/>
          <w:lang w:val="en-US"/>
        </w:rPr>
        <w:t>(Alburez-Gutierrez, Kolk, and Zagheni 2019; Nepomuceno et al. Forthcoming)</w:t>
      </w:r>
      <w:r>
        <w:rPr>
          <w:rFonts w:cs="Calibri"/>
          <w:lang w:val="en-US" w:eastAsia="de-DE"/>
        </w:rPr>
        <w:fldChar w:fldCharType="end"/>
      </w:r>
      <w:r>
        <w:rPr>
          <w:rFonts w:cs="Calibri"/>
          <w:lang w:val="en-US" w:eastAsia="de-DE"/>
        </w:rPr>
        <w:t xml:space="preserve"> to develop methodologies </w:t>
      </w:r>
      <w:r w:rsidRPr="00404EA5">
        <w:rPr>
          <w:rFonts w:cs="Calibri"/>
          <w:lang w:val="en-US" w:eastAsia="de-DE"/>
        </w:rPr>
        <w:t xml:space="preserve">to estimate the </w:t>
      </w:r>
      <w:r>
        <w:rPr>
          <w:rFonts w:cs="Calibri"/>
          <w:lang w:val="en-US" w:eastAsia="de-DE"/>
        </w:rPr>
        <w:t>probability of experiencing bereavement</w:t>
      </w:r>
      <w:r w:rsidRPr="00404EA5">
        <w:rPr>
          <w:rFonts w:cs="Calibri"/>
          <w:lang w:val="en-US" w:eastAsia="de-DE"/>
        </w:rPr>
        <w:t xml:space="preserve"> given a set of age-specific Covid-19 mortality rates. </w:t>
      </w:r>
      <w:r>
        <w:rPr>
          <w:rFonts w:cs="Calibri"/>
          <w:lang w:val="en-US" w:eastAsia="de-DE"/>
        </w:rPr>
        <w:t xml:space="preserve">We will obtain </w:t>
      </w:r>
      <w:r w:rsidRPr="00404EA5">
        <w:rPr>
          <w:rFonts w:cs="Calibri"/>
          <w:lang w:val="en-US" w:eastAsia="de-DE"/>
        </w:rPr>
        <w:t xml:space="preserve">the </w:t>
      </w:r>
      <w:r>
        <w:rPr>
          <w:rFonts w:cs="Calibri"/>
          <w:lang w:val="en-US" w:eastAsia="de-DE"/>
        </w:rPr>
        <w:t xml:space="preserve">population-level burden </w:t>
      </w:r>
      <w:r w:rsidRPr="00404EA5">
        <w:rPr>
          <w:rFonts w:cs="Calibri"/>
          <w:lang w:val="en-US" w:eastAsia="de-DE"/>
        </w:rPr>
        <w:t xml:space="preserve">of </w:t>
      </w:r>
      <w:r>
        <w:rPr>
          <w:rFonts w:cs="Calibri"/>
          <w:lang w:val="en-US" w:eastAsia="de-DE"/>
        </w:rPr>
        <w:t xml:space="preserve">family </w:t>
      </w:r>
      <w:r w:rsidRPr="00404EA5">
        <w:rPr>
          <w:rFonts w:cs="Calibri"/>
          <w:lang w:val="en-US" w:eastAsia="de-DE"/>
        </w:rPr>
        <w:t>bereavement and the age distribution of the bereaved population</w:t>
      </w:r>
      <w:r>
        <w:rPr>
          <w:rFonts w:cs="Calibri"/>
          <w:lang w:val="en-US" w:eastAsia="de-DE"/>
        </w:rPr>
        <w:t xml:space="preserve"> using models</w:t>
      </w:r>
      <w:r w:rsidRPr="00404EA5">
        <w:rPr>
          <w:rFonts w:cs="Calibri"/>
          <w:lang w:val="en-US" w:eastAsia="de-DE"/>
        </w:rPr>
        <w:t xml:space="preserve"> </w:t>
      </w:r>
      <w:r>
        <w:rPr>
          <w:rFonts w:cs="Calibri"/>
          <w:lang w:val="en-US" w:eastAsia="de-DE"/>
        </w:rPr>
        <w:t xml:space="preserve">that translate </w:t>
      </w:r>
      <w:r w:rsidRPr="00404EA5">
        <w:rPr>
          <w:rFonts w:cs="Calibri"/>
          <w:lang w:val="en-US" w:eastAsia="de-DE"/>
        </w:rPr>
        <w:t xml:space="preserve">changes in mortality </w:t>
      </w:r>
      <w:r>
        <w:rPr>
          <w:rFonts w:cs="Calibri"/>
          <w:lang w:val="en-US" w:eastAsia="de-DE"/>
        </w:rPr>
        <w:t xml:space="preserve">to prevalence of </w:t>
      </w:r>
      <w:r w:rsidRPr="00404EA5">
        <w:rPr>
          <w:rFonts w:cs="Calibri"/>
          <w:lang w:val="en-US" w:eastAsia="de-DE"/>
        </w:rPr>
        <w:t>bereavement</w:t>
      </w:r>
      <w:r>
        <w:rPr>
          <w:rFonts w:cs="Calibri"/>
          <w:lang w:val="en-US" w:eastAsia="de-DE"/>
        </w:rPr>
        <w:t xml:space="preserve"> (Fig 1)</w:t>
      </w:r>
      <w:r w:rsidRPr="00404EA5">
        <w:rPr>
          <w:rFonts w:cs="Calibri"/>
          <w:lang w:val="en-US" w:eastAsia="de-DE"/>
        </w:rPr>
        <w:t>.</w:t>
      </w:r>
      <w:r>
        <w:rPr>
          <w:rFonts w:cs="Calibri"/>
          <w:lang w:val="en-US" w:eastAsia="de-DE"/>
        </w:rPr>
        <w:t xml:space="preserve"> Our method will be implemented in the R language for statistical programming. We will use demographic microsimulations to model family bereavement  for complex kinship ties, such as cousins or in-laws, by adapting a series of already existing microsimulations from a previous project </w:t>
      </w:r>
      <w:r>
        <w:rPr>
          <w:rFonts w:cs="Calibri"/>
          <w:lang w:val="en-US" w:eastAsia="de-DE"/>
        </w:rPr>
        <w:fldChar w:fldCharType="begin"/>
      </w:r>
      <w:r>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Pr>
          <w:rFonts w:cs="Calibri"/>
          <w:lang w:val="en-US" w:eastAsia="de-DE"/>
        </w:rPr>
        <w:fldChar w:fldCharType="separate"/>
      </w:r>
      <w:r w:rsidRPr="00FF0D8F">
        <w:rPr>
          <w:rFonts w:cs="Arial"/>
          <w:lang w:val="en-US"/>
        </w:rPr>
        <w:t>(Mason and Zagheni 2014)</w:t>
      </w:r>
      <w:r>
        <w:rPr>
          <w:rFonts w:cs="Calibri"/>
          <w:lang w:val="en-US" w:eastAsia="de-DE"/>
        </w:rPr>
        <w:fldChar w:fldCharType="end"/>
      </w:r>
      <w:r>
        <w:rPr>
          <w:rFonts w:cs="Calibri"/>
          <w:lang w:val="en-US" w:eastAsia="de-DE"/>
        </w:rPr>
        <w:t xml:space="preserve">. </w:t>
      </w: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Pr>
          <w:rFonts w:cs="Calibri"/>
          <w:lang w:val="en-US" w:eastAsia="de-DE"/>
        </w:rPr>
        <w:t xml:space="preserve">13 countries </w:t>
      </w:r>
      <w:r w:rsidRPr="00E3724C">
        <w:rPr>
          <w:rFonts w:cs="Calibri"/>
          <w:lang w:val="en-US" w:eastAsia="de-DE"/>
        </w:rPr>
        <w:t xml:space="preserve">for which </w:t>
      </w:r>
      <w:r>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Pr>
          <w:rStyle w:val="FootnoteReference"/>
          <w:rFonts w:cs="Calibri"/>
          <w:lang w:val="en-US" w:eastAsia="de-DE"/>
        </w:rPr>
        <w:footnoteReference w:id="1"/>
      </w:r>
      <w:r>
        <w:rPr>
          <w:rFonts w:cs="Calibri"/>
          <w:lang w:val="en-US" w:eastAsia="de-DE"/>
        </w:rPr>
        <w:t xml:space="preserve"> W</w:t>
      </w:r>
      <w:r w:rsidRPr="00E3724C">
        <w:rPr>
          <w:rFonts w:cs="Calibri"/>
          <w:lang w:val="en-US" w:eastAsia="de-DE"/>
        </w:rPr>
        <w:t xml:space="preserve">e will </w:t>
      </w:r>
      <w:r>
        <w:rPr>
          <w:rFonts w:cs="Calibri"/>
          <w:lang w:val="en-US" w:eastAsia="de-DE"/>
        </w:rPr>
        <w:t xml:space="preserve">extend </w:t>
      </w:r>
      <w:r w:rsidRPr="00E3724C">
        <w:rPr>
          <w:rFonts w:cs="Calibri"/>
          <w:lang w:val="en-US" w:eastAsia="de-DE"/>
        </w:rPr>
        <w:t xml:space="preserve">our </w:t>
      </w:r>
      <w:r>
        <w:rPr>
          <w:rFonts w:cs="Calibri"/>
          <w:lang w:val="en-US" w:eastAsia="de-DE"/>
        </w:rPr>
        <w:t xml:space="preserve">analysis </w:t>
      </w:r>
      <w:r w:rsidRPr="00E3724C">
        <w:rPr>
          <w:rFonts w:cs="Calibri"/>
          <w:lang w:val="en-US" w:eastAsia="de-DE"/>
        </w:rPr>
        <w:t xml:space="preserve">to other </w:t>
      </w:r>
      <w:r>
        <w:rPr>
          <w:rFonts w:cs="Calibri"/>
          <w:lang w:val="en-US" w:eastAsia="de-DE"/>
        </w:rPr>
        <w:t xml:space="preserve">countries </w:t>
      </w:r>
      <w:r w:rsidRPr="00E3724C">
        <w:rPr>
          <w:rFonts w:cs="Calibri"/>
          <w:lang w:val="en-US" w:eastAsia="de-DE"/>
        </w:rPr>
        <w:t>once reliable data on Covid-19 excess mortality becomes available</w:t>
      </w:r>
      <w:r>
        <w:rPr>
          <w:rFonts w:cs="Calibri"/>
          <w:lang w:val="en-US" w:eastAsia="de-DE"/>
        </w:rPr>
        <w:t xml:space="preserve">. The current </w:t>
      </w:r>
      <w:r w:rsidRPr="00E3724C">
        <w:rPr>
          <w:rFonts w:cs="Calibri"/>
          <w:lang w:val="en-US" w:eastAsia="de-DE"/>
        </w:rPr>
        <w:t xml:space="preserve">project will produce a range of estimates to reflect the uncertainty inherent </w:t>
      </w:r>
      <w:r>
        <w:rPr>
          <w:rFonts w:cs="Calibri"/>
          <w:lang w:val="en-US" w:eastAsia="de-DE"/>
        </w:rPr>
        <w:t xml:space="preserve">in </w:t>
      </w:r>
      <w:r w:rsidRPr="00E3724C">
        <w:rPr>
          <w:rFonts w:cs="Calibri"/>
          <w:lang w:val="en-US" w:eastAsia="de-DE"/>
        </w:rPr>
        <w:t xml:space="preserve">the Covid-19 mortality statistics. </w:t>
      </w:r>
      <w:r>
        <w:rPr>
          <w:rFonts w:cs="Calibri"/>
          <w:lang w:val="en-US" w:eastAsia="de-DE"/>
        </w:rPr>
        <w:t>W</w:t>
      </w:r>
      <w:r w:rsidRPr="00E3724C">
        <w:rPr>
          <w:rFonts w:cs="Calibri"/>
          <w:lang w:val="en-US" w:eastAsia="de-DE"/>
        </w:rPr>
        <w:t>e expect the accuracy of our models to improve as more quality 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0EDA0E6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0A0AFE8F" w14:textId="537CE866" w:rsidR="00C44497" w:rsidRPr="002A4C1D"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 xml:space="preserve">using </w:t>
      </w:r>
      <w:r w:rsidR="009B5338">
        <w:rPr>
          <w:rFonts w:cs="Calibri"/>
          <w:lang w:val="en-US" w:eastAsia="de-DE"/>
        </w:rPr>
        <w:t xml:space="preserve">established </w:t>
      </w:r>
      <w:r w:rsidR="00716610">
        <w:rPr>
          <w:rFonts w:cs="Calibri"/>
          <w:lang w:val="en-US" w:eastAsia="de-DE"/>
        </w:rPr>
        <w:t xml:space="preserve">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r w:rsidR="00C86902">
        <w:rPr>
          <w:rFonts w:cs="Calibri"/>
          <w:lang w:val="en-US" w:eastAsia="de-DE"/>
        </w:rPr>
        <w:t>could be used to assess changes in well-being</w:t>
      </w:r>
      <w:r w:rsidR="008D697D">
        <w:rPr>
          <w:rFonts w:cs="Calibri"/>
          <w:lang w:val="en-US" w:eastAsia="de-DE"/>
        </w:rPr>
        <w:t xml:space="preserve">. </w:t>
      </w:r>
      <w:r w:rsidR="00C44497" w:rsidRPr="00C44497">
        <w:rPr>
          <w:lang w:val="en-US"/>
        </w:rPr>
        <w:t>If these data do not become available in a timely m</w:t>
      </w:r>
      <w:r w:rsidR="002A4C1D">
        <w:rPr>
          <w:lang w:val="en-US"/>
        </w:rPr>
        <w:t>anner, as a mitigation strategy</w:t>
      </w:r>
      <w:r w:rsidR="00C44497" w:rsidRPr="00C44497">
        <w:rPr>
          <w:lang w:val="en-US"/>
        </w:rPr>
        <w:t xml:space="preserve"> we will start by extracting as much information as possible from ongoing online surveys run in-house at </w:t>
      </w:r>
      <w:r w:rsidR="002A4C1D">
        <w:rPr>
          <w:lang w:val="en-US"/>
        </w:rPr>
        <w:t xml:space="preserve">the </w:t>
      </w:r>
      <w:r w:rsidR="00C44497" w:rsidRPr="00C44497">
        <w:rPr>
          <w:lang w:val="en-US"/>
        </w:rPr>
        <w:t>MPIDR</w:t>
      </w:r>
      <w:r w:rsidR="001261B1">
        <w:rPr>
          <w:rStyle w:val="FootnoteReference"/>
          <w:lang w:val="en-US"/>
        </w:rPr>
        <w:footnoteReference w:id="2"/>
      </w:r>
      <w:r w:rsidR="00C44497" w:rsidRPr="00C44497">
        <w:rPr>
          <w:lang w:val="en-US"/>
        </w:rPr>
        <w:t>, as agreed with MPIDR Director and co-applicant Zagheni</w:t>
      </w:r>
      <w:r w:rsidR="002A4C1D">
        <w:rPr>
          <w:lang w:val="en-US"/>
        </w:rPr>
        <w:t>.</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ListParagraph"/>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22C63C9A" w:rsidR="005D48F3" w:rsidRDefault="003723ED" w:rsidP="00B62FC8">
      <w:pPr>
        <w:pStyle w:val="ListParagraph"/>
        <w:numPr>
          <w:ilvl w:val="0"/>
          <w:numId w:val="7"/>
        </w:numPr>
        <w:spacing w:after="60" w:line="240" w:lineRule="auto"/>
        <w:jc w:val="both"/>
        <w:rPr>
          <w:rFonts w:cs="Calibri"/>
          <w:lang w:val="en-US" w:eastAsia="de-DE"/>
        </w:rPr>
      </w:pPr>
      <w:r>
        <w:rPr>
          <w:rFonts w:cs="Calibri"/>
          <w:lang w:val="en-US" w:eastAsia="de-DE"/>
        </w:rPr>
        <w:t xml:space="preserve">Write two academic </w:t>
      </w:r>
      <w:r w:rsidR="005D48F3" w:rsidRPr="00A25D1C">
        <w:rPr>
          <w:rFonts w:cs="Calibri"/>
          <w:lang w:val="en-US" w:eastAsia="de-DE"/>
        </w:rPr>
        <w:t xml:space="preserve">papers </w:t>
      </w:r>
      <w:r w:rsidR="00BB6F3B">
        <w:rPr>
          <w:rFonts w:cs="Calibri"/>
          <w:lang w:val="en-US" w:eastAsia="de-DE"/>
        </w:rPr>
        <w:t>(</w:t>
      </w:r>
      <w:r w:rsidR="00E0083C">
        <w:rPr>
          <w:rFonts w:cs="Calibri"/>
          <w:lang w:val="en-US" w:eastAsia="de-DE"/>
        </w:rPr>
        <w:t>present</w:t>
      </w:r>
      <w:r w:rsidR="00DB40E2">
        <w:rPr>
          <w:rFonts w:cs="Calibri"/>
          <w:lang w:val="en-US" w:eastAsia="de-DE"/>
        </w:rPr>
        <w:t>ing</w:t>
      </w:r>
      <w:r w:rsidR="00E0083C">
        <w:rPr>
          <w:rFonts w:cs="Calibri"/>
          <w:lang w:val="en-US" w:eastAsia="de-DE"/>
        </w:rPr>
        <w:t xml:space="preserve"> </w:t>
      </w:r>
      <w:r w:rsidR="005D48F3" w:rsidRPr="00A25D1C">
        <w:rPr>
          <w:rFonts w:cs="Calibri"/>
          <w:lang w:val="en-US" w:eastAsia="de-DE"/>
        </w:rPr>
        <w:t xml:space="preserve">the </w:t>
      </w:r>
      <w:r w:rsidR="00841C26" w:rsidRPr="00A25D1C">
        <w:rPr>
          <w:rFonts w:cs="Calibri"/>
          <w:lang w:val="en-US" w:eastAsia="de-DE"/>
        </w:rPr>
        <w:t>methodology</w:t>
      </w:r>
      <w:r w:rsidR="005D48F3" w:rsidRPr="00A25D1C">
        <w:rPr>
          <w:rFonts w:cs="Calibri"/>
          <w:lang w:val="en-US" w:eastAsia="de-DE"/>
        </w:rPr>
        <w:t xml:space="preserve"> and substantive results</w:t>
      </w:r>
      <w:r w:rsidR="00DB40E2">
        <w:rPr>
          <w:rFonts w:cs="Calibri"/>
          <w:lang w:val="en-US" w:eastAsia="de-DE"/>
        </w:rPr>
        <w:t xml:space="preserve"> </w:t>
      </w:r>
      <w:r w:rsidR="007860D9">
        <w:rPr>
          <w:rFonts w:cs="Calibri"/>
          <w:lang w:val="en-US" w:eastAsia="de-DE"/>
        </w:rPr>
        <w:t>of the project</w:t>
      </w:r>
      <w:r w:rsidR="00BB6F3B">
        <w:rPr>
          <w:rFonts w:cs="Calibri"/>
          <w:lang w:val="en-US" w:eastAsia="de-DE"/>
        </w:rPr>
        <w:t>)</w:t>
      </w:r>
      <w:r w:rsidR="007860D9">
        <w:rPr>
          <w:rFonts w:cs="Calibri"/>
          <w:lang w:val="en-US" w:eastAsia="de-DE"/>
        </w:rPr>
        <w:t xml:space="preserve"> </w:t>
      </w:r>
      <w:r>
        <w:rPr>
          <w:rFonts w:cs="Calibri"/>
          <w:lang w:val="en-US" w:eastAsia="de-DE"/>
        </w:rPr>
        <w:t xml:space="preserve">and submit them to top-ranked </w:t>
      </w:r>
      <w:r w:rsidR="00DB40E2">
        <w:rPr>
          <w:rFonts w:cs="Calibri"/>
          <w:lang w:val="en-US" w:eastAsia="de-DE"/>
        </w:rPr>
        <w:t>peer-reviewed journals</w:t>
      </w:r>
    </w:p>
    <w:p w14:paraId="6FA0329D" w14:textId="51FF476E"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090F7AC7" w:rsidR="001C6A68" w:rsidRPr="00C25B06" w:rsidRDefault="001C6A68" w:rsidP="00C44497">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0" w:history="1">
        <w:r w:rsidR="008C3088" w:rsidRPr="00EC175F">
          <w:rPr>
            <w:rStyle w:val="Hyperlink"/>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1" w:history="1">
        <w:r w:rsidR="00C44497" w:rsidRPr="00826592">
          <w:rPr>
            <w:rStyle w:val="Hyperlink"/>
            <w:lang w:val="en-US"/>
          </w:rPr>
          <w:t>https://population-europe.eu/policy-briefs</w:t>
        </w:r>
      </w:hyperlink>
      <w:r w:rsidR="005B101E">
        <w:rPr>
          <w:lang w:val="en-US"/>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0052309C"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sidR="00DA1FF7">
        <w:rPr>
          <w:rFonts w:cs="Calibri"/>
          <w:lang w:val="en-US" w:eastAsia="de-DE"/>
        </w:rPr>
        <w:t xml:space="preserve"> </w:t>
      </w:r>
      <w:r w:rsidR="00DA1FF7">
        <w:rPr>
          <w:rFonts w:cs="Calibri"/>
          <w:lang w:val="en-US" w:eastAsia="de-DE"/>
        </w:rPr>
        <w:fldChar w:fldCharType="begin"/>
      </w:r>
      <w:r w:rsidR="00DA1FF7">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DA1FF7">
        <w:rPr>
          <w:rFonts w:cs="Calibri"/>
          <w:lang w:val="en-US" w:eastAsia="de-DE"/>
        </w:rPr>
        <w:fldChar w:fldCharType="separate"/>
      </w:r>
      <w:r w:rsidR="00DA1FF7" w:rsidRPr="00797B31">
        <w:rPr>
          <w:rFonts w:cs="Arial"/>
          <w:lang w:val="en-US"/>
        </w:rPr>
        <w:t>(Raker, Zacher, and Lowe 2020)</w:t>
      </w:r>
      <w:r w:rsidR="00DA1FF7">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56AD7731"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w:t>
      </w:r>
      <w:r w:rsidR="006427D9">
        <w:rPr>
          <w:rFonts w:cs="Calibri"/>
          <w:lang w:val="en-US" w:eastAsia="de-DE"/>
        </w:rPr>
        <w:t>burden of bereavement</w:t>
      </w:r>
      <w:r w:rsidRPr="00475210">
        <w:rPr>
          <w:rFonts w:cs="Calibri"/>
          <w:lang w:val="en-US" w:eastAsia="de-DE"/>
        </w:rPr>
        <w:t xml:space="preserve"> can help policy makers develop appropriate plans for supporting </w:t>
      </w:r>
      <w:r w:rsidR="00CD3A09">
        <w:rPr>
          <w:rFonts w:cs="Calibri"/>
          <w:lang w:val="en-US" w:eastAsia="de-DE"/>
        </w:rPr>
        <w:t xml:space="preserve">the </w:t>
      </w:r>
      <w:r w:rsidRPr="00475210">
        <w:rPr>
          <w:rFonts w:cs="Calibri"/>
          <w:lang w:val="en-US" w:eastAsia="de-DE"/>
        </w:rPr>
        <w:t xml:space="preserve">grieving </w:t>
      </w:r>
      <w:r w:rsidR="00CD3A09">
        <w:rPr>
          <w:rFonts w:cs="Calibri"/>
          <w:lang w:val="en-US" w:eastAsia="de-DE"/>
        </w:rPr>
        <w:t>population</w:t>
      </w:r>
      <w:r w:rsidRPr="00475210">
        <w:rPr>
          <w:rFonts w:cs="Calibri"/>
          <w:lang w:val="en-US" w:eastAsia="de-DE"/>
        </w:rPr>
        <w:t xml:space="preserve">.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57081D">
        <w:rPr>
          <w:rFonts w:cs="Calibri"/>
          <w:lang w:val="en-US" w:eastAsia="de-DE"/>
        </w:rPr>
        <w:t xml:space="preserve"> - 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7842B3">
        <w:rPr>
          <w:rFonts w:cs="Arial"/>
          <w:lang w:val="en-US"/>
        </w:rPr>
        <w:t>(Smith-Greenaway and Trinitapoli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1361E52"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w:t>
      </w:r>
      <w:r w:rsidR="000E7354">
        <w:rPr>
          <w:rFonts w:cs="Calibri"/>
          <w:lang w:val="en-US" w:eastAsia="de-DE"/>
        </w:rPr>
        <w:t>during a global mortality crisis</w:t>
      </w:r>
      <w:r>
        <w:rPr>
          <w:rFonts w:cs="Calibri"/>
          <w:lang w:val="en-US" w:eastAsia="de-DE"/>
        </w:rPr>
        <w:t xml:space="preserve">.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bookmarkStart w:id="1" w:name="_GoBack"/>
      <w:bookmarkEnd w:id="1"/>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4DD2C26F" w:rsidR="005B6F61"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w:t>
      </w:r>
      <w:r w:rsidR="007B2274">
        <w:rPr>
          <w:rFonts w:cs="Calibri"/>
          <w:lang w:val="en-US" w:eastAsia="de-DE"/>
        </w:rPr>
        <w:t>includes the foremost experts at</w:t>
      </w:r>
      <w:r w:rsidR="00C92177">
        <w:rPr>
          <w:rFonts w:cs="Calibri"/>
          <w:lang w:val="en-US" w:eastAsia="de-DE"/>
        </w:rPr>
        <w:t xml:space="preserve">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phy"/>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phy"/>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phy"/>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phy"/>
        <w:rPr>
          <w:rFonts w:cs="Arial"/>
          <w:szCs w:val="24"/>
          <w:lang w:val="en-US"/>
        </w:rPr>
      </w:pPr>
      <w:r w:rsidRPr="00046FDE">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phy"/>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phy"/>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phy"/>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2"/>
      <w:footerReference w:type="default" r:id="rId13"/>
      <w:pgSz w:w="11906" w:h="16838"/>
      <w:pgMar w:top="1702" w:right="1417" w:bottom="1134" w:left="1417" w:header="709"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D8203" w14:textId="77777777" w:rsidR="003C2EDB" w:rsidRDefault="003C2EDB" w:rsidP="004A3469">
      <w:pPr>
        <w:spacing w:after="0" w:line="240" w:lineRule="auto"/>
      </w:pPr>
      <w:r>
        <w:separator/>
      </w:r>
    </w:p>
  </w:endnote>
  <w:endnote w:type="continuationSeparator" w:id="0">
    <w:p w14:paraId="6C0E4533" w14:textId="77777777" w:rsidR="003C2EDB" w:rsidRDefault="003C2EDB"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0E735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AC92B" w14:textId="77777777" w:rsidR="003C2EDB" w:rsidRDefault="003C2EDB" w:rsidP="004A3469">
      <w:pPr>
        <w:spacing w:after="0" w:line="240" w:lineRule="auto"/>
      </w:pPr>
      <w:r>
        <w:separator/>
      </w:r>
    </w:p>
  </w:footnote>
  <w:footnote w:type="continuationSeparator" w:id="0">
    <w:p w14:paraId="12324F4E" w14:textId="77777777" w:rsidR="003C2EDB" w:rsidRDefault="003C2EDB" w:rsidP="004A3469">
      <w:pPr>
        <w:spacing w:after="0" w:line="240" w:lineRule="auto"/>
      </w:pPr>
      <w:r>
        <w:continuationSeparator/>
      </w:r>
    </w:p>
  </w:footnote>
  <w:footnote w:id="1">
    <w:p w14:paraId="50C21F85" w14:textId="77777777" w:rsidR="002A2462" w:rsidRPr="00C25F41" w:rsidRDefault="002A2462" w:rsidP="002A2462">
      <w:pPr>
        <w:pStyle w:val="FootnoteText"/>
        <w:rPr>
          <w:lang w:val="en-US"/>
        </w:rPr>
      </w:pPr>
      <w:r>
        <w:rPr>
          <w:rStyle w:val="FootnoteReference"/>
        </w:rPr>
        <w:footnoteRef/>
      </w:r>
      <w:r>
        <w:t xml:space="preserve"> 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 (</w:t>
      </w:r>
      <w:hyperlink r:id="rId1" w:history="1">
        <w:r w:rsidRPr="00EC175F">
          <w:rPr>
            <w:rStyle w:val="Hyperlink"/>
            <w:rFonts w:cs="Calibri"/>
            <w:lang w:val="en-US" w:eastAsia="de-DE"/>
          </w:rPr>
          <w:t>www.mortality.org</w:t>
        </w:r>
      </w:hyperlink>
      <w:r>
        <w:t>)</w:t>
      </w:r>
    </w:p>
  </w:footnote>
  <w:footnote w:id="2">
    <w:p w14:paraId="26B78924" w14:textId="77777777" w:rsidR="001261B1" w:rsidRPr="00975141" w:rsidRDefault="001261B1" w:rsidP="001261B1">
      <w:pPr>
        <w:pStyle w:val="FootnoteText"/>
        <w:rPr>
          <w:lang w:val="en-US"/>
        </w:rPr>
      </w:pPr>
      <w:r>
        <w:rPr>
          <w:rStyle w:val="FootnoteReference"/>
        </w:rPr>
        <w:footnoteRef/>
      </w:r>
      <w:r w:rsidRPr="00975141">
        <w:rPr>
          <w:lang w:val="en-US"/>
        </w:rPr>
        <w:t xml:space="preserve"> </w:t>
      </w:r>
      <w:hyperlink r:id="rId2" w:history="1">
        <w:r w:rsidRPr="00826592">
          <w:rPr>
            <w:rStyle w:val="Hyperlink"/>
            <w:lang w:val="en-US"/>
          </w:rPr>
          <w:t>https://www.medrxiv.org/content/10.1101/2020.05.15.20102657v1</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E7354"/>
    <w:rsid w:val="000F00FA"/>
    <w:rsid w:val="000F14E6"/>
    <w:rsid w:val="000F18DD"/>
    <w:rsid w:val="000F1C89"/>
    <w:rsid w:val="000F3407"/>
    <w:rsid w:val="000F6CFE"/>
    <w:rsid w:val="00105805"/>
    <w:rsid w:val="001102BD"/>
    <w:rsid w:val="0011481D"/>
    <w:rsid w:val="00114DB9"/>
    <w:rsid w:val="00121B59"/>
    <w:rsid w:val="001227D7"/>
    <w:rsid w:val="001261B1"/>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81A37"/>
    <w:rsid w:val="00186F2B"/>
    <w:rsid w:val="00191512"/>
    <w:rsid w:val="00196F34"/>
    <w:rsid w:val="001A22BD"/>
    <w:rsid w:val="001A3141"/>
    <w:rsid w:val="001A3D3B"/>
    <w:rsid w:val="001A519F"/>
    <w:rsid w:val="001A5B53"/>
    <w:rsid w:val="001B2B19"/>
    <w:rsid w:val="001B2BBE"/>
    <w:rsid w:val="001B46B1"/>
    <w:rsid w:val="001B4D70"/>
    <w:rsid w:val="001B61B2"/>
    <w:rsid w:val="001B6491"/>
    <w:rsid w:val="001B684D"/>
    <w:rsid w:val="001B7A8C"/>
    <w:rsid w:val="001C019F"/>
    <w:rsid w:val="001C168F"/>
    <w:rsid w:val="001C20BD"/>
    <w:rsid w:val="001C4628"/>
    <w:rsid w:val="001C4B5B"/>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2462"/>
    <w:rsid w:val="002A361A"/>
    <w:rsid w:val="002A4C1D"/>
    <w:rsid w:val="002A53BB"/>
    <w:rsid w:val="002A5626"/>
    <w:rsid w:val="002B12FC"/>
    <w:rsid w:val="002B3716"/>
    <w:rsid w:val="002B42F3"/>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6C18"/>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27C5"/>
    <w:rsid w:val="003533FF"/>
    <w:rsid w:val="00353441"/>
    <w:rsid w:val="003579B4"/>
    <w:rsid w:val="0036145D"/>
    <w:rsid w:val="003617F0"/>
    <w:rsid w:val="003647B0"/>
    <w:rsid w:val="00365026"/>
    <w:rsid w:val="00365219"/>
    <w:rsid w:val="00365725"/>
    <w:rsid w:val="00367299"/>
    <w:rsid w:val="00367872"/>
    <w:rsid w:val="003700AD"/>
    <w:rsid w:val="003723ED"/>
    <w:rsid w:val="00373421"/>
    <w:rsid w:val="0037616C"/>
    <w:rsid w:val="00380AA6"/>
    <w:rsid w:val="0039320B"/>
    <w:rsid w:val="00397158"/>
    <w:rsid w:val="003A178E"/>
    <w:rsid w:val="003A17D0"/>
    <w:rsid w:val="003A2390"/>
    <w:rsid w:val="003A2F2A"/>
    <w:rsid w:val="003A4441"/>
    <w:rsid w:val="003A46E5"/>
    <w:rsid w:val="003A6838"/>
    <w:rsid w:val="003A6DCD"/>
    <w:rsid w:val="003B1179"/>
    <w:rsid w:val="003B1E36"/>
    <w:rsid w:val="003B4278"/>
    <w:rsid w:val="003B4DB6"/>
    <w:rsid w:val="003B747F"/>
    <w:rsid w:val="003C2494"/>
    <w:rsid w:val="003C24CF"/>
    <w:rsid w:val="003C2BAC"/>
    <w:rsid w:val="003C2EDB"/>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0E78"/>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04E7"/>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2386"/>
    <w:rsid w:val="00513659"/>
    <w:rsid w:val="00520884"/>
    <w:rsid w:val="00525B94"/>
    <w:rsid w:val="005303DF"/>
    <w:rsid w:val="005325D5"/>
    <w:rsid w:val="00532CCF"/>
    <w:rsid w:val="00533656"/>
    <w:rsid w:val="005336C0"/>
    <w:rsid w:val="00534A6E"/>
    <w:rsid w:val="005350BB"/>
    <w:rsid w:val="00536359"/>
    <w:rsid w:val="005434ED"/>
    <w:rsid w:val="00546895"/>
    <w:rsid w:val="00546A52"/>
    <w:rsid w:val="00550B7B"/>
    <w:rsid w:val="00552CEF"/>
    <w:rsid w:val="0055435D"/>
    <w:rsid w:val="00557A88"/>
    <w:rsid w:val="00560361"/>
    <w:rsid w:val="00563FE0"/>
    <w:rsid w:val="005655F9"/>
    <w:rsid w:val="00566AD9"/>
    <w:rsid w:val="00567B00"/>
    <w:rsid w:val="00567D59"/>
    <w:rsid w:val="0057081D"/>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A63A3"/>
    <w:rsid w:val="005B0753"/>
    <w:rsid w:val="005B101E"/>
    <w:rsid w:val="005B1AA5"/>
    <w:rsid w:val="005B4599"/>
    <w:rsid w:val="005B6D6D"/>
    <w:rsid w:val="005B6F61"/>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2148"/>
    <w:rsid w:val="00617A69"/>
    <w:rsid w:val="00620464"/>
    <w:rsid w:val="00621F6A"/>
    <w:rsid w:val="00630051"/>
    <w:rsid w:val="0063182D"/>
    <w:rsid w:val="00635F57"/>
    <w:rsid w:val="0063729F"/>
    <w:rsid w:val="006379DC"/>
    <w:rsid w:val="006408D8"/>
    <w:rsid w:val="00640AFA"/>
    <w:rsid w:val="00641127"/>
    <w:rsid w:val="006427D9"/>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1F89"/>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842B3"/>
    <w:rsid w:val="007860D9"/>
    <w:rsid w:val="007939E5"/>
    <w:rsid w:val="007950E6"/>
    <w:rsid w:val="0079684A"/>
    <w:rsid w:val="0079686C"/>
    <w:rsid w:val="0079771A"/>
    <w:rsid w:val="00797B31"/>
    <w:rsid w:val="007A2C6A"/>
    <w:rsid w:val="007A3C9A"/>
    <w:rsid w:val="007A41D9"/>
    <w:rsid w:val="007A66F1"/>
    <w:rsid w:val="007B2274"/>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44880"/>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154B"/>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35ECD"/>
    <w:rsid w:val="0093769D"/>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32E9"/>
    <w:rsid w:val="009B5338"/>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B22CB"/>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2D37"/>
    <w:rsid w:val="00BA5DC7"/>
    <w:rsid w:val="00BB0174"/>
    <w:rsid w:val="00BB0DE1"/>
    <w:rsid w:val="00BB4237"/>
    <w:rsid w:val="00BB56DC"/>
    <w:rsid w:val="00BB6F3B"/>
    <w:rsid w:val="00BB7A2F"/>
    <w:rsid w:val="00BC0B66"/>
    <w:rsid w:val="00BC2BA3"/>
    <w:rsid w:val="00BC3248"/>
    <w:rsid w:val="00BC4BB5"/>
    <w:rsid w:val="00BC5E10"/>
    <w:rsid w:val="00BC6D67"/>
    <w:rsid w:val="00BC7E19"/>
    <w:rsid w:val="00BD1FA5"/>
    <w:rsid w:val="00BD5A18"/>
    <w:rsid w:val="00BD68A3"/>
    <w:rsid w:val="00BE1FE5"/>
    <w:rsid w:val="00BE21C2"/>
    <w:rsid w:val="00BE3B75"/>
    <w:rsid w:val="00BE48FD"/>
    <w:rsid w:val="00BE4D1A"/>
    <w:rsid w:val="00BE6C9F"/>
    <w:rsid w:val="00BF2584"/>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4497"/>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6902"/>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3A09"/>
    <w:rsid w:val="00CD5F39"/>
    <w:rsid w:val="00CE0AA6"/>
    <w:rsid w:val="00CE0C4F"/>
    <w:rsid w:val="00CE0FF7"/>
    <w:rsid w:val="00CE75C1"/>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1FF7"/>
    <w:rsid w:val="00DA409E"/>
    <w:rsid w:val="00DA512F"/>
    <w:rsid w:val="00DA57A1"/>
    <w:rsid w:val="00DA6543"/>
    <w:rsid w:val="00DB3BC3"/>
    <w:rsid w:val="00DB40E2"/>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512"/>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pulation-europe.eu/policy-brief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search-app.shinyapps.io/child_death_paa/"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medrxiv.org/content/10.1101/2020.05.15.20102657v1" TargetMode="External"/><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51468-B509-4A7B-9ADC-22CC7196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42</cp:revision>
  <cp:lastPrinted>2020-06-02T12:53:00Z</cp:lastPrinted>
  <dcterms:created xsi:type="dcterms:W3CDTF">2020-05-29T12:33:00Z</dcterms:created>
  <dcterms:modified xsi:type="dcterms:W3CDTF">2020-06-02T12:54:00Z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