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E07" w:rsidRPr="00F35E1F" w:rsidRDefault="003C4E07" w:rsidP="009E7086">
      <w:pPr>
        <w:rPr>
          <w:b/>
          <w:sz w:val="28"/>
          <w:lang w:val="de-DE"/>
        </w:rPr>
      </w:pPr>
      <w:proofErr w:type="spellStart"/>
      <w:r w:rsidRPr="00F35E1F">
        <w:rPr>
          <w:b/>
          <w:sz w:val="28"/>
          <w:lang w:val="de-DE"/>
        </w:rPr>
        <w:t>Methods</w:t>
      </w:r>
      <w:proofErr w:type="spellEnd"/>
    </w:p>
    <w:p w:rsidR="009E7086" w:rsidRPr="00F35E1F" w:rsidRDefault="009E7086" w:rsidP="009E7086">
      <w:pPr>
        <w:rPr>
          <w:i/>
          <w:sz w:val="20"/>
          <w:lang w:val="de-DE"/>
        </w:rPr>
      </w:pPr>
      <w:r w:rsidRPr="00F35E1F">
        <w:rPr>
          <w:i/>
          <w:sz w:val="20"/>
          <w:lang w:val="de-DE"/>
        </w:rPr>
        <w:t>Diego Alburez-Gutierrez</w:t>
      </w:r>
    </w:p>
    <w:p w:rsidR="009E7086" w:rsidRPr="00F35E1F" w:rsidRDefault="009E7086" w:rsidP="00226774">
      <w:pPr>
        <w:rPr>
          <w:i/>
          <w:sz w:val="20"/>
          <w:lang w:val="de-DE"/>
        </w:rPr>
      </w:pPr>
      <w:r w:rsidRPr="00F35E1F">
        <w:rPr>
          <w:i/>
          <w:sz w:val="20"/>
          <w:lang w:val="de-DE"/>
        </w:rPr>
        <w:t>06 Feb 2020</w:t>
      </w:r>
    </w:p>
    <w:p w:rsidR="00226774" w:rsidRDefault="00226774" w:rsidP="00226774">
      <w:r w:rsidRPr="00C568A1">
        <w:rPr>
          <w:b/>
        </w:rPr>
        <w:t>Cumulative child death</w:t>
      </w:r>
    </w:p>
    <w:p w:rsidR="00226774" w:rsidRPr="006F3B58" w:rsidRDefault="00787252" w:rsidP="00226774">
      <w:r>
        <w:t xml:space="preserve">We propose an extension to </w:t>
      </w:r>
      <w:r w:rsidR="004415D1">
        <w:t xml:space="preserve">the </w:t>
      </w:r>
      <w:r>
        <w:t>Goodman-</w:t>
      </w:r>
      <w:proofErr w:type="spellStart"/>
      <w:r>
        <w:t>Keyfitz</w:t>
      </w:r>
      <w:proofErr w:type="spellEnd"/>
      <w:r>
        <w:t>-</w:t>
      </w:r>
      <w:proofErr w:type="spellStart"/>
      <w:r>
        <w:t>Pullum</w:t>
      </w:r>
      <w:proofErr w:type="spellEnd"/>
      <w:r>
        <w:t xml:space="preserve"> kinship equations</w:t>
      </w:r>
      <w:r w:rsidR="009D5BA0">
        <w:t xml:space="preserve"> (GKP equations)</w:t>
      </w:r>
      <w:r>
        <w:t xml:space="preserve"> </w:t>
      </w:r>
      <w:r>
        <w:fldChar w:fldCharType="begin"/>
      </w:r>
      <w:r>
        <w:instrText xml:space="preserve"> ADDIN ZOTERO_ITEM CSL_CITATION {"citationID":"UN6FaqV9","properties":{"formattedCitation":"(Keyfitz 1985)","plainCitation":"(Keyfitz 1985)","noteIndex":0},"citationItems":[{"id":399,"uris":["http://zotero.org/groups/2241996/items/XN4XUQU2"],"uri":["http://zotero.org/groups/2241996/items/XN4XUQU2"],"itemData":{"id":399,"type":"book","title":"Applied mathematical demography","publisher":"Springer","publisher-place":"New York","source":"Open WorldCat","event-place":"New York","abstract":"What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case.","URL":"http://public.eblib.com/choice/publicfullrecord.aspx?p=3084208","ISBN":"978-1-4757-1879-9","note":"OCLC: 610135904","language":"English","author":[{"family":"Keyfitz","given":"Nathan"}],"issued":{"date-parts":[["1985"]]},"accessed":{"date-parts":[["2019",4,5]]}}}],"schema":"https://github.com/citation-style-language/schema/raw/master/csl-citation.json"} </w:instrText>
      </w:r>
      <w:r>
        <w:fldChar w:fldCharType="separate"/>
      </w:r>
      <w:r w:rsidRPr="00787252">
        <w:rPr>
          <w:rFonts w:ascii="Calibri" w:hAnsi="Calibri"/>
        </w:rPr>
        <w:t>(Keyfitz 1985)</w:t>
      </w:r>
      <w:r>
        <w:fldChar w:fldCharType="end"/>
      </w:r>
      <w:r>
        <w:t xml:space="preserve">, </w:t>
      </w:r>
      <w:r w:rsidR="00E91602">
        <w:t xml:space="preserve">to estimate </w:t>
      </w:r>
      <w:r>
        <w:t>t</w:t>
      </w:r>
      <w:r w:rsidR="00226774">
        <w:t xml:space="preserve">he cumulative number of offspring deaths experienced by a woman </w:t>
      </w:r>
      <w:r w:rsidR="002304D5">
        <w:t>surviving to age</w:t>
      </w:r>
      <w:r w:rsidR="00226774">
        <w:t xml:space="preserve"> </w:t>
      </w:r>
      <w:r w:rsidR="00226774">
        <w:rPr>
          <w:i/>
        </w:rPr>
        <w:t>a</w:t>
      </w:r>
      <w:r w:rsidR="002304D5">
        <w:t>,</w:t>
      </w:r>
      <w:r w:rsidR="00226774">
        <w:t xml:space="preserve"> standing before us: </w:t>
      </w:r>
    </w:p>
    <w:p w:rsidR="00226774" w:rsidRPr="006F3B58" w:rsidRDefault="00951235" w:rsidP="00226774">
      <w:pPr>
        <w:rPr>
          <w:rFonts w:eastAsiaTheme="minorEastAsia"/>
        </w:rPr>
      </w:pPr>
      <m:oMathPara>
        <m:oMath>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l</m:t>
                  </m:r>
                </m:e>
                <m: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a-x,k</m:t>
                          </m:r>
                        </m:e>
                      </m:d>
                    </m:e>
                  </m:func>
                  <m:r>
                    <w:rPr>
                      <w:rFonts w:ascii="Cambria Math" w:hAnsi="Cambria Math"/>
                    </w:rPr>
                    <m:t>,c+x,p)</m:t>
                  </m:r>
                </m:sub>
              </m:sSub>
            </m:e>
          </m:sPre>
        </m:oMath>
      </m:oMathPara>
    </w:p>
    <w:p w:rsidR="00226774" w:rsidRPr="00397187" w:rsidRDefault="00226774" w:rsidP="00226774">
      <w:r>
        <w:t xml:space="preserve">where </w:t>
      </w:r>
      <w:r w:rsidRPr="00397187">
        <w:t xml:space="preserve"> </w:t>
      </w:r>
      <m:oMath>
        <m:r>
          <w:rPr>
            <w:rFonts w:ascii="Cambria Math" w:hAnsi="Cambria Math"/>
          </w:rPr>
          <m:t>k=1</m:t>
        </m:r>
      </m:oMath>
      <w:r>
        <w:t xml:space="preserve"> for infant deaths, </w:t>
      </w:r>
      <m:oMath>
        <m:r>
          <w:rPr>
            <w:rFonts w:ascii="Cambria Math" w:hAnsi="Cambria Math"/>
          </w:rPr>
          <m:t>k=5</m:t>
        </m:r>
      </m:oMath>
      <w:r>
        <w:t xml:space="preserve"> for child deaths  and </w:t>
      </w:r>
      <m:oMath>
        <m:r>
          <w:rPr>
            <w:rFonts w:ascii="Cambria Math" w:hAnsi="Cambria Math"/>
          </w:rPr>
          <m:t>k=1</m:t>
        </m:r>
      </m:oMath>
      <w:r>
        <w:rPr>
          <w:rFonts w:eastAsiaTheme="minorEastAsia"/>
        </w:rPr>
        <w:t>00</w:t>
      </w:r>
      <w:r>
        <w:t xml:space="preserve"> for all-age offspring deaths</w:t>
      </w:r>
      <w:r>
        <w:rPr>
          <w:rFonts w:eastAsiaTheme="minorEastAsia"/>
        </w:rPr>
        <w:t xml:space="preserve">. We restrict the female reproductive age </w:t>
      </w:r>
      <m:oMath>
        <m:r>
          <w:rPr>
            <w:rFonts w:ascii="Cambria Math" w:eastAsiaTheme="minorEastAsia" w:hAnsi="Cambria Math"/>
          </w:rPr>
          <m:t>[α,β]</m:t>
        </m:r>
      </m:oMath>
      <w:r>
        <w:rPr>
          <w:rFonts w:eastAsiaTheme="minorEastAsia"/>
        </w:rPr>
        <w:t xml:space="preserve"> to </w:t>
      </w:r>
      <m:oMath>
        <m:d>
          <m:dPr>
            <m:ctrlPr>
              <w:rPr>
                <w:rFonts w:ascii="Cambria Math" w:eastAsiaTheme="minorEastAsia" w:hAnsi="Cambria Math"/>
                <w:i/>
              </w:rPr>
            </m:ctrlPr>
          </m:dPr>
          <m:e>
            <m:r>
              <w:rPr>
                <w:rFonts w:ascii="Cambria Math" w:eastAsiaTheme="minorEastAsia" w:hAnsi="Cambria Math"/>
              </w:rPr>
              <m:t>α,β,n</m:t>
            </m:r>
          </m:e>
        </m:d>
        <m:r>
          <w:rPr>
            <w:rFonts w:ascii="Cambria Math" w:eastAsiaTheme="minorEastAsia" w:hAnsi="Cambria Math"/>
          </w:rPr>
          <m:t>=(15,50,1)</m:t>
        </m:r>
      </m:oMath>
      <w:r>
        <w:t xml:space="preserve">, so that </w:t>
      </w:r>
      <m:oMath>
        <m:r>
          <w:rPr>
            <w:rFonts w:ascii="Cambria Math" w:eastAsiaTheme="minorEastAsia" w:hAnsi="Cambria Math"/>
          </w:rPr>
          <m:t>a≤ β+k</m:t>
        </m:r>
      </m:oMath>
      <w:r>
        <w:rPr>
          <w:rFonts w:eastAsiaTheme="minorEastAsia"/>
        </w:rPr>
        <w:t xml:space="preserve"> for all cases.</w:t>
      </w:r>
    </w:p>
    <w:p w:rsidR="00226774" w:rsidRDefault="00226774" w:rsidP="00226774">
      <w:r w:rsidRPr="000370EF">
        <w:rPr>
          <w:b/>
        </w:rPr>
        <w:t xml:space="preserve">Proportion of </w:t>
      </w:r>
      <w:r w:rsidR="00E23DCE">
        <w:rPr>
          <w:b/>
        </w:rPr>
        <w:t xml:space="preserve">bereaved </w:t>
      </w:r>
      <w:r w:rsidRPr="000370EF">
        <w:rPr>
          <w:b/>
        </w:rPr>
        <w:t xml:space="preserve">mothers </w:t>
      </w:r>
      <w:r w:rsidR="00E23DCE">
        <w:rPr>
          <w:b/>
        </w:rPr>
        <w:t>per 1,000 mothers</w:t>
      </w:r>
    </w:p>
    <w:p w:rsidR="00226774" w:rsidRDefault="00567084" w:rsidP="00226774">
      <w:r>
        <w:t xml:space="preserve">In order to </w:t>
      </w:r>
      <w:r w:rsidR="00226774">
        <w:t xml:space="preserve">determine the prevalence </w:t>
      </w:r>
      <w:r w:rsidR="00547B54">
        <w:t xml:space="preserve">of </w:t>
      </w:r>
      <w:r w:rsidR="00CD2354">
        <w:t xml:space="preserve">bereaved mothers </w:t>
      </w:r>
      <w:r w:rsidR="00572FFB">
        <w:t xml:space="preserve">in </w:t>
      </w:r>
      <w:r w:rsidR="00226774">
        <w:t>a population</w:t>
      </w:r>
      <w:r>
        <w:t>, we start</w:t>
      </w:r>
      <w:r w:rsidR="00226774">
        <w:t xml:space="preserve"> by considering the age-specific probability that a</w:t>
      </w:r>
      <w:r w:rsidR="00951235">
        <w:t xml:space="preserve">n average </w:t>
      </w:r>
      <w:bookmarkStart w:id="0" w:name="_GoBack"/>
      <w:bookmarkEnd w:id="0"/>
      <w:r w:rsidR="00226774">
        <w:t xml:space="preserve">woman will experience the death of </w:t>
      </w:r>
      <w:r w:rsidR="006101B1">
        <w:t>a child</w:t>
      </w:r>
      <w:r w:rsidR="00226774">
        <w:t>:</w:t>
      </w:r>
    </w:p>
    <w:p w:rsidR="00226774" w:rsidRPr="00C3038D" w:rsidRDefault="00951235" w:rsidP="00226774">
      <w:pPr>
        <w:jc w:val="center"/>
        <w:rPr>
          <w:rFonts w:eastAsiaTheme="minorEastAsia"/>
        </w:rPr>
      </w:pP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(a+1,c,p)</m:t>
            </m:r>
          </m:sub>
          <m:sup>
            <m:r>
              <w:rPr>
                <w:rFonts w:ascii="Cambria Math" w:eastAsia="Cambria Math" w:hAnsi="Cambria Math" w:cs="Cambria Math"/>
              </w:rPr>
              <m:t>k</m:t>
            </m:r>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(a,c,p)</m:t>
            </m:r>
          </m:sub>
          <m:sup>
            <m:r>
              <w:rPr>
                <w:rFonts w:ascii="Cambria Math" w:eastAsia="Cambria Math" w:hAnsi="Cambria Math" w:cs="Cambria Math"/>
              </w:rPr>
              <m:t>k</m:t>
            </m:r>
          </m:sup>
        </m:sSubSup>
      </m:oMath>
      <w:r w:rsidR="00226774">
        <w:rPr>
          <w:rFonts w:eastAsiaTheme="minorEastAsia"/>
        </w:rPr>
        <w:t>.</w:t>
      </w:r>
    </w:p>
    <w:p w:rsidR="00BC73B1" w:rsidRDefault="00226774" w:rsidP="00BC73B1">
      <w:pPr>
        <w:rPr>
          <w:rFonts w:eastAsiaTheme="minorEastAsia"/>
        </w:rPr>
      </w:pPr>
      <w:r>
        <w:t xml:space="preserve">With this, we create a </w:t>
      </w:r>
      <w:r w:rsidR="00631FEE">
        <w:t xml:space="preserve">multiple decrement </w:t>
      </w:r>
      <w:r>
        <w:t xml:space="preserve">life table </w:t>
      </w:r>
      <w:r w:rsidR="00634AEA">
        <w:fldChar w:fldCharType="begin"/>
      </w:r>
      <w:r w:rsidR="00634AEA">
        <w:instrText xml:space="preserve"> ADDIN ZOTERO_ITEM CSL_CITATION {"citationID":"LFQVXY2z","properties":{"formattedCitation":"(Preston, Heuveline, and Guillot 2001)","plainCitation":"(Preston, Heuveline, and Guillot 2001)","noteIndex":0},"citationItems":[{"id":601,"uris":["http://zotero.org/groups/2241996/items/A88IZKYU"],"uri":["http://zotero.org/groups/2241996/items/A88IZKYU"],"itemData":{"id":601,"type":"book","title":"Demography: measuring and modeling population processes","publisher":"Blackwell Publishers","publisher-place":"Malden, MA","number-of-pages":"291","source":"Library of Congress ISBN","event-place":"Malden, MA","ISBN":"978-1-55786-214-3","call-number":"HB849.4 .P73 2001","shortTitle":"Demography","author":[{"family":"Preston","given":"Samuel H."},{"family":"Heuveline","given":"Patrick"},{"family":"Guillot","given":"Michel"}],"issued":{"date-parts":[["2001"]]}}}],"schema":"https://github.com/citation-style-language/schema/raw/master/csl-citation.json"} </w:instrText>
      </w:r>
      <w:r w:rsidR="00634AEA">
        <w:fldChar w:fldCharType="separate"/>
      </w:r>
      <w:r w:rsidR="00634AEA" w:rsidRPr="00634AEA">
        <w:rPr>
          <w:rFonts w:ascii="Calibri" w:hAnsi="Calibri"/>
        </w:rPr>
        <w:t>(Preston, Heuveline, and Guillot 2001)</w:t>
      </w:r>
      <w:r w:rsidR="00634AEA">
        <w:fldChar w:fldCharType="end"/>
      </w:r>
      <w:r w:rsidR="00AA635E">
        <w:t xml:space="preserve"> </w:t>
      </w:r>
      <w:r w:rsidR="00FF390E">
        <w:t xml:space="preserve">where </w:t>
      </w:r>
      <w:r w:rsidR="00AC6F79">
        <w:t xml:space="preserve">a </w:t>
      </w:r>
      <w:r w:rsidR="00AC6F79">
        <w:rPr>
          <w:rFonts w:eastAsiaTheme="minorEastAsia"/>
        </w:rPr>
        <w:t>woma</w:t>
      </w:r>
      <w:r w:rsidR="00FF390E">
        <w:rPr>
          <w:rFonts w:eastAsiaTheme="minorEastAsia"/>
        </w:rPr>
        <w:t xml:space="preserve">n can exit the population </w:t>
      </w:r>
      <w:r w:rsidR="00171BD3">
        <w:rPr>
          <w:rFonts w:eastAsiaTheme="minorEastAsia"/>
        </w:rPr>
        <w:t xml:space="preserve">of “non-bereaved women” </w:t>
      </w:r>
      <w:r w:rsidR="00FF390E">
        <w:rPr>
          <w:rFonts w:eastAsiaTheme="minorEastAsia"/>
        </w:rPr>
        <w:t xml:space="preserve">either by losing a child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FF390E">
        <w:rPr>
          <w:rFonts w:eastAsiaTheme="minorEastAsia"/>
        </w:rPr>
        <w:t xml:space="preserve"> or by dying</w:t>
      </w:r>
      <w:r w:rsidR="0057588E">
        <w:rPr>
          <w:rFonts w:eastAsiaTheme="minorEastAsia"/>
        </w:rPr>
        <w:t xml:space="preserve"> herself</w:t>
      </w:r>
      <w:r w:rsidR="00FF390E">
        <w:rPr>
          <w:rFonts w:eastAsiaTheme="minorEastAsia"/>
        </w:rPr>
        <w:t xml:space="preserve">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mother</m:t>
            </m:r>
          </m:sup>
        </m:sSubSup>
      </m:oMath>
      <w:r w:rsidR="00FF390E">
        <w:rPr>
          <w:rFonts w:eastAsiaTheme="minorEastAsia"/>
        </w:rPr>
        <w:t xml:space="preserve"> so that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m:t>
        </m:r>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mother</m:t>
            </m:r>
          </m:sup>
        </m:sSubSup>
      </m:oMath>
      <w:r w:rsidR="00996251">
        <w:rPr>
          <w:rFonts w:eastAsiaTheme="minorEastAsia"/>
        </w:rPr>
        <w:t xml:space="preserve"> is the</w:t>
      </w:r>
      <w:r w:rsidR="00996251" w:rsidRPr="00996251">
        <w:rPr>
          <w:rFonts w:eastAsiaTheme="minorEastAsia"/>
        </w:rPr>
        <w:t xml:space="preserve"> </w:t>
      </w:r>
      <w:r w:rsidR="00996251">
        <w:rPr>
          <w:rFonts w:eastAsiaTheme="minorEastAsia"/>
        </w:rPr>
        <w:t>probability of leaving the state of being a non-bereaved woman</w:t>
      </w:r>
      <w:r w:rsidR="00FF390E">
        <w:rPr>
          <w:rFonts w:eastAsiaTheme="minorEastAsia"/>
        </w:rPr>
        <w:t>.</w:t>
      </w:r>
      <w:r w:rsidR="00805050">
        <w:rPr>
          <w:rFonts w:eastAsiaTheme="minorEastAsia"/>
        </w:rPr>
        <w:t xml:space="preserve"> </w:t>
      </w:r>
      <w:r w:rsidR="00020F38">
        <w:rPr>
          <w:rFonts w:eastAsiaTheme="minorEastAsia"/>
        </w:rPr>
        <w:t>For a unitary radix</w:t>
      </w:r>
      <w:r w:rsidR="00805050">
        <w:rPr>
          <w:rFonts w:eastAsiaTheme="minorEastAsia"/>
        </w:rPr>
        <w:t xml:space="preserve"> </w:t>
      </w:r>
      <m:oMath>
        <m:sSubSup>
          <m:sSubSupPr>
            <m:ctrlPr>
              <w:rPr>
                <w:rFonts w:ascii="Cambria Math" w:hAnsi="Cambria Math"/>
                <w:i/>
              </w:rPr>
            </m:ctrlPr>
          </m:sSubSupPr>
          <m:e>
            <m:sPre>
              <m:sPrePr>
                <m:ctrlPr>
                  <w:rPr>
                    <w:rFonts w:ascii="Cambria Math" w:hAnsi="Cambria Math"/>
                    <w:i/>
                  </w:rPr>
                </m:ctrlPr>
              </m:sPrePr>
              <m:sub/>
              <m:sup/>
              <m:e>
                <m:r>
                  <w:rPr>
                    <w:rFonts w:ascii="Cambria Math" w:hAnsi="Cambria Math"/>
                  </w:rPr>
                  <m:t>l</m:t>
                </m:r>
              </m:e>
            </m:sPre>
          </m:e>
          <m:sub>
            <m:r>
              <w:rPr>
                <w:rFonts w:ascii="Cambria Math" w:hAnsi="Cambria Math"/>
              </w:rPr>
              <m:t>0</m:t>
            </m:r>
          </m:sub>
          <m:sup>
            <m:r>
              <w:rPr>
                <w:rFonts w:ascii="Cambria Math" w:hAnsi="Cambria Math"/>
              </w:rPr>
              <m:t>k</m:t>
            </m:r>
          </m:sup>
        </m:sSubSup>
        <m:r>
          <w:rPr>
            <w:rFonts w:ascii="Cambria Math" w:hAnsi="Cambria Math"/>
          </w:rPr>
          <m:t>=1</m:t>
        </m:r>
      </m:oMath>
      <w:r w:rsidR="00BC73B1">
        <w:rPr>
          <w:rFonts w:eastAsiaTheme="minorEastAsia"/>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Theme="minorEastAsia" w:hAnsi="Cambria Math"/>
          </w:rPr>
          <m:t>=1-</m:t>
        </m:r>
        <m:sSubSup>
          <m:sSubSupPr>
            <m:ctrlPr>
              <w:rPr>
                <w:rFonts w:ascii="Cambria Math" w:hAnsi="Cambria Math"/>
                <w:i/>
              </w:rPr>
            </m:ctrlPr>
          </m:sSubSupPr>
          <m:e>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(a,c,p)</m:t>
            </m:r>
          </m:sub>
          <m:sup>
            <m:r>
              <w:rPr>
                <w:rFonts w:ascii="Cambria Math" w:hAnsi="Cambria Math"/>
              </w:rPr>
              <m:t>k</m:t>
            </m:r>
          </m:sup>
        </m:sSubSup>
      </m:oMath>
      <w:r w:rsidR="00BC73B1">
        <w:rPr>
          <w:rFonts w:eastAsiaTheme="minorEastAsia"/>
        </w:rPr>
        <w:t xml:space="preserve"> is the fraction of </w:t>
      </w:r>
      <w:r w:rsidR="002E4AA7">
        <w:rPr>
          <w:rFonts w:eastAsiaTheme="minorEastAsia"/>
        </w:rPr>
        <w:t xml:space="preserve">bereaved </w:t>
      </w:r>
      <w:r w:rsidR="00BC73B1">
        <w:rPr>
          <w:rFonts w:eastAsiaTheme="minorEastAsia"/>
        </w:rPr>
        <w:t xml:space="preserve">women </w:t>
      </w:r>
      <w:r w:rsidR="002E4AA7">
        <w:rPr>
          <w:rFonts w:eastAsiaTheme="minorEastAsia"/>
        </w:rPr>
        <w:t xml:space="preserve">in a population (i.e. </w:t>
      </w:r>
      <w:r w:rsidR="00BC73B1">
        <w:rPr>
          <w:rFonts w:eastAsiaTheme="minorEastAsia"/>
        </w:rPr>
        <w:t xml:space="preserve">who </w:t>
      </w:r>
      <w:r w:rsidR="00EF4BF1">
        <w:rPr>
          <w:rFonts w:eastAsiaTheme="minorEastAsia"/>
        </w:rPr>
        <w:t xml:space="preserve">ever </w:t>
      </w:r>
      <w:r w:rsidR="00BC73B1">
        <w:rPr>
          <w:rFonts w:eastAsiaTheme="minorEastAsia"/>
        </w:rPr>
        <w:t>experienced the death of a child</w:t>
      </w:r>
      <w:r w:rsidR="00344EAC">
        <w:rPr>
          <w:rFonts w:eastAsiaTheme="minorEastAsia"/>
        </w:rPr>
        <w:t xml:space="preserve"> younger than </w:t>
      </w:r>
      <w:r w:rsidR="00344EAC" w:rsidRPr="0033566C">
        <w:rPr>
          <w:rFonts w:eastAsiaTheme="minorEastAsia"/>
          <w:i/>
        </w:rPr>
        <w:t>k</w:t>
      </w:r>
      <w:r w:rsidR="002E4AA7">
        <w:rPr>
          <w:rFonts w:eastAsiaTheme="minorEastAsia"/>
        </w:rPr>
        <w:t>)</w:t>
      </w:r>
      <w:r w:rsidR="00BC73B1">
        <w:rPr>
          <w:rFonts w:eastAsiaTheme="minorEastAsia"/>
        </w:rPr>
        <w:t xml:space="preserve">. </w:t>
      </w:r>
    </w:p>
    <w:p w:rsidR="00226774" w:rsidRDefault="002C4BDE" w:rsidP="00226774">
      <w:r>
        <w:rPr>
          <w:rFonts w:eastAsiaTheme="minorEastAsia"/>
        </w:rPr>
        <w:t xml:space="preserve">Strictly speaking, these </w:t>
      </w:r>
      <w:r w:rsidR="00226774">
        <w:rPr>
          <w:rFonts w:eastAsiaTheme="minorEastAsia"/>
        </w:rPr>
        <w:t xml:space="preserve">estimates </w:t>
      </w:r>
      <w:r>
        <w:rPr>
          <w:rFonts w:eastAsiaTheme="minorEastAsia"/>
        </w:rPr>
        <w:t xml:space="preserve">do not </w:t>
      </w:r>
      <w:r w:rsidR="00226774">
        <w:rPr>
          <w:rFonts w:eastAsiaTheme="minorEastAsia"/>
        </w:rPr>
        <w:t xml:space="preserve">refer to </w:t>
      </w:r>
      <w:r>
        <w:rPr>
          <w:rFonts w:eastAsiaTheme="minorEastAsia"/>
        </w:rPr>
        <w:t>mothers</w:t>
      </w:r>
      <w:r w:rsidR="00226774">
        <w:rPr>
          <w:rFonts w:eastAsiaTheme="minorEastAsia"/>
        </w:rPr>
        <w:t xml:space="preserve">, since </w:t>
      </w:r>
      <w:r w:rsidR="00226774">
        <w:t>the</w:t>
      </w:r>
      <w:r w:rsidR="00734F5F">
        <w:t xml:space="preserve"> input UN WPP demographic rates do not report </w:t>
      </w:r>
      <w:r w:rsidR="00734F5F">
        <w:t>the fraction of women who are mothers</w:t>
      </w:r>
      <w:r w:rsidR="00226774">
        <w:t>.</w:t>
      </w:r>
      <w:r w:rsidR="00BA1E92">
        <w:t xml:space="preserve"> W</w:t>
      </w:r>
      <w:r w:rsidR="00226774">
        <w:t>e rescale our estimates using a similar life table approach</w:t>
      </w:r>
      <w:r w:rsidR="005A6CD7">
        <w:t>,</w:t>
      </w:r>
      <w:r w:rsidR="00BC22A9">
        <w:t xml:space="preserve"> where</w:t>
      </w:r>
      <w:r w:rsidR="00226774">
        <w:t xml:space="preserve"> </w:t>
      </w:r>
      <w:r w:rsidR="00BC22A9">
        <w:t>w</w:t>
      </w:r>
      <w:r w:rsidR="00226774">
        <w:t xml:space="preserve">e consider fertility as a “hazard rate” to evaluate the number of women that “survive” having children </w:t>
      </w:r>
      <w:r w:rsidR="001722DB">
        <w:t xml:space="preserve">(i.e. remain childless) </w:t>
      </w:r>
      <w:r w:rsidR="00226774">
        <w:t xml:space="preserve">after experiencing </w:t>
      </w:r>
      <w:r w:rsidR="0057588E">
        <w:t xml:space="preserve">a set of age-specific </w:t>
      </w:r>
      <w:r w:rsidR="00226774">
        <w:t xml:space="preserve">fertility rates. The fraction of women who have ever been mothers </w:t>
      </w:r>
      <m:oMath>
        <m:sSub>
          <m:sSubPr>
            <m:ctrlPr>
              <w:rPr>
                <w:rFonts w:ascii="Cambria Math" w:hAnsi="Cambria Math"/>
                <w:i/>
              </w:rPr>
            </m:ctrlPr>
          </m:sSubPr>
          <m:e>
            <m:r>
              <w:rPr>
                <w:rFonts w:ascii="Cambria Math" w:hAnsi="Cambria Math"/>
              </w:rPr>
              <m:t>FAM</m:t>
            </m:r>
          </m:e>
          <m:sub>
            <m:r>
              <w:rPr>
                <w:rFonts w:ascii="Cambria Math" w:hAnsi="Cambria Math"/>
              </w:rPr>
              <m:t>(a,c,p)</m:t>
            </m:r>
          </m:sub>
        </m:sSub>
      </m:oMath>
      <w:r w:rsidR="00226774">
        <w:t xml:space="preserve"> is 1 minus the fraction of childless women. We can now define </w:t>
      </w:r>
      <w:r w:rsidR="00226774" w:rsidRPr="00A35E1C">
        <w:t>the proportion of mothers (per 1,000 mothers) who have ever lost one or more children</w:t>
      </w:r>
      <w:r w:rsidR="00226774">
        <w:t xml:space="preserve"> younger than </w:t>
      </w:r>
      <w:r w:rsidR="00226774" w:rsidRPr="00A41427">
        <w:rPr>
          <w:i/>
        </w:rPr>
        <w:t>k</w:t>
      </w:r>
      <w:r w:rsidR="00226774">
        <w:t>:</w:t>
      </w:r>
    </w:p>
    <w:p w:rsidR="00226774" w:rsidRPr="00734305" w:rsidRDefault="00951235" w:rsidP="00226774">
      <w:pPr>
        <w:jc w:val="center"/>
      </w:pPr>
      <m:oMath>
        <m:sSubSup>
          <m:sSubSupPr>
            <m:ctrlPr>
              <w:rPr>
                <w:rFonts w:ascii="Cambria Math" w:eastAsia="Cambria Math" w:hAnsi="Cambria Math" w:cs="Cambria Math"/>
                <w:i/>
              </w:rPr>
            </m:ctrlPr>
          </m:sSubSupPr>
          <m:e>
            <m:r>
              <w:rPr>
                <w:rFonts w:ascii="Cambria Math" w:eastAsia="Cambria Math" w:hAnsi="Cambria Math" w:cs="Cambria Math"/>
              </w:rPr>
              <m:t>mOM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FAM</m:t>
                </m:r>
              </m:e>
              <m:sub>
                <m:d>
                  <m:dPr>
                    <m:ctrlPr>
                      <w:rPr>
                        <w:rFonts w:ascii="Cambria Math" w:hAnsi="Cambria Math"/>
                        <w:i/>
                      </w:rPr>
                    </m:ctrlPr>
                  </m:dPr>
                  <m:e>
                    <m:r>
                      <w:rPr>
                        <w:rFonts w:ascii="Cambria Math" w:hAnsi="Cambria Math"/>
                      </w:rPr>
                      <m:t>a,c,p</m:t>
                    </m:r>
                  </m:e>
                </m:d>
              </m:sub>
            </m:sSub>
          </m:den>
        </m:f>
        <m:r>
          <w:rPr>
            <w:rFonts w:ascii="Cambria Math" w:hAnsi="Cambria Math"/>
          </w:rPr>
          <m:t>*1000</m:t>
        </m:r>
      </m:oMath>
      <w:r w:rsidR="00226774">
        <w:rPr>
          <w:rFonts w:eastAsiaTheme="minorEastAsia"/>
        </w:rPr>
        <w:t>.</w:t>
      </w:r>
    </w:p>
    <w:p w:rsidR="00634AEA" w:rsidRPr="00B94518" w:rsidRDefault="00634AEA" w:rsidP="00226774">
      <w:pPr>
        <w:rPr>
          <w:b/>
        </w:rPr>
      </w:pPr>
      <w:r w:rsidRPr="00B94518">
        <w:rPr>
          <w:b/>
        </w:rPr>
        <w:t>References</w:t>
      </w:r>
    </w:p>
    <w:p w:rsidR="00787252" w:rsidRPr="00787252" w:rsidRDefault="00787252" w:rsidP="00787252">
      <w:pPr>
        <w:pStyle w:val="Bibliography"/>
        <w:rPr>
          <w:rFonts w:ascii="Calibri" w:hAnsi="Calibri"/>
        </w:rPr>
      </w:pPr>
      <w:r>
        <w:fldChar w:fldCharType="begin"/>
      </w:r>
      <w:r>
        <w:instrText xml:space="preserve"> ADDIN ZOTERO_BIBL {"uncited":[],"omitted":[],"custom":[]} CSL_BIBLIOGRAPHY </w:instrText>
      </w:r>
      <w:r>
        <w:fldChar w:fldCharType="separate"/>
      </w:r>
      <w:r w:rsidRPr="00787252">
        <w:rPr>
          <w:rFonts w:ascii="Calibri" w:hAnsi="Calibri"/>
        </w:rPr>
        <w:t xml:space="preserve">Keyfitz, N. (1985). </w:t>
      </w:r>
      <w:r w:rsidRPr="00787252">
        <w:rPr>
          <w:rFonts w:ascii="Calibri" w:hAnsi="Calibri"/>
          <w:i/>
          <w:iCs/>
        </w:rPr>
        <w:t>Applied Mathematical Demography</w:t>
      </w:r>
      <w:r w:rsidRPr="00787252">
        <w:rPr>
          <w:rFonts w:ascii="Calibri" w:hAnsi="Calibri"/>
        </w:rPr>
        <w:t>. New York: Springer. http://public.eblib.com/choice/publicfullrecord.aspx?p=3084208.</w:t>
      </w:r>
    </w:p>
    <w:p w:rsidR="00787252" w:rsidRPr="00787252" w:rsidRDefault="00787252" w:rsidP="00787252">
      <w:pPr>
        <w:pStyle w:val="Bibliography"/>
        <w:rPr>
          <w:rFonts w:ascii="Calibri" w:hAnsi="Calibri"/>
        </w:rPr>
      </w:pPr>
      <w:r w:rsidRPr="00787252">
        <w:rPr>
          <w:rFonts w:ascii="Calibri" w:hAnsi="Calibri"/>
        </w:rPr>
        <w:lastRenderedPageBreak/>
        <w:t xml:space="preserve">Preston, S.H., Heuveline, P., and Guillot, M. (2001). </w:t>
      </w:r>
      <w:r w:rsidRPr="00787252">
        <w:rPr>
          <w:rFonts w:ascii="Calibri" w:hAnsi="Calibri"/>
          <w:i/>
          <w:iCs/>
        </w:rPr>
        <w:t>Demography: Measuring and Modeling Population Processes</w:t>
      </w:r>
      <w:r w:rsidRPr="00787252">
        <w:rPr>
          <w:rFonts w:ascii="Calibri" w:hAnsi="Calibri"/>
        </w:rPr>
        <w:t>. Malden, MA: Blackwell Publishers.</w:t>
      </w:r>
    </w:p>
    <w:p w:rsidR="00634AEA" w:rsidRPr="00226774" w:rsidRDefault="00787252" w:rsidP="00226774">
      <w:r>
        <w:fldChar w:fldCharType="end"/>
      </w:r>
    </w:p>
    <w:sectPr w:rsidR="00634AEA" w:rsidRPr="0022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CD"/>
    <w:rsid w:val="00020F38"/>
    <w:rsid w:val="00023C90"/>
    <w:rsid w:val="000370EF"/>
    <w:rsid w:val="00046199"/>
    <w:rsid w:val="00047355"/>
    <w:rsid w:val="00090AFF"/>
    <w:rsid w:val="000947F5"/>
    <w:rsid w:val="000F089D"/>
    <w:rsid w:val="000F0F4F"/>
    <w:rsid w:val="00122E42"/>
    <w:rsid w:val="00130C7B"/>
    <w:rsid w:val="00146DBD"/>
    <w:rsid w:val="00171BD3"/>
    <w:rsid w:val="001722DB"/>
    <w:rsid w:val="001A5BF9"/>
    <w:rsid w:val="001B1009"/>
    <w:rsid w:val="001F51A6"/>
    <w:rsid w:val="0020403E"/>
    <w:rsid w:val="002171D7"/>
    <w:rsid w:val="00226774"/>
    <w:rsid w:val="002304D5"/>
    <w:rsid w:val="0024457F"/>
    <w:rsid w:val="00264CB4"/>
    <w:rsid w:val="00297EF8"/>
    <w:rsid w:val="002C4BDE"/>
    <w:rsid w:val="002E4AA7"/>
    <w:rsid w:val="003132F9"/>
    <w:rsid w:val="00331E66"/>
    <w:rsid w:val="0033566C"/>
    <w:rsid w:val="00344EAC"/>
    <w:rsid w:val="00397187"/>
    <w:rsid w:val="003A1007"/>
    <w:rsid w:val="003C4E07"/>
    <w:rsid w:val="003D7A13"/>
    <w:rsid w:val="00417E72"/>
    <w:rsid w:val="00421B3C"/>
    <w:rsid w:val="00430DA8"/>
    <w:rsid w:val="004415D1"/>
    <w:rsid w:val="004642FB"/>
    <w:rsid w:val="00495A08"/>
    <w:rsid w:val="0051646E"/>
    <w:rsid w:val="00540351"/>
    <w:rsid w:val="005455F3"/>
    <w:rsid w:val="00547B54"/>
    <w:rsid w:val="005532CA"/>
    <w:rsid w:val="00567084"/>
    <w:rsid w:val="00572FFB"/>
    <w:rsid w:val="0057588E"/>
    <w:rsid w:val="0059780F"/>
    <w:rsid w:val="005A6CD7"/>
    <w:rsid w:val="005D5F8B"/>
    <w:rsid w:val="005E145E"/>
    <w:rsid w:val="005E2B0D"/>
    <w:rsid w:val="00607D79"/>
    <w:rsid w:val="006101B1"/>
    <w:rsid w:val="00631FEE"/>
    <w:rsid w:val="00634AEA"/>
    <w:rsid w:val="00646AB0"/>
    <w:rsid w:val="0069361F"/>
    <w:rsid w:val="006B06E0"/>
    <w:rsid w:val="006B571E"/>
    <w:rsid w:val="006C5C6D"/>
    <w:rsid w:val="006E7EA6"/>
    <w:rsid w:val="006F031B"/>
    <w:rsid w:val="006F3B58"/>
    <w:rsid w:val="00703473"/>
    <w:rsid w:val="00734305"/>
    <w:rsid w:val="00734F5F"/>
    <w:rsid w:val="00753A66"/>
    <w:rsid w:val="00765B1B"/>
    <w:rsid w:val="00787252"/>
    <w:rsid w:val="007C4050"/>
    <w:rsid w:val="00805050"/>
    <w:rsid w:val="0085278E"/>
    <w:rsid w:val="008A7D9E"/>
    <w:rsid w:val="008C0194"/>
    <w:rsid w:val="008F0046"/>
    <w:rsid w:val="008F4111"/>
    <w:rsid w:val="00912029"/>
    <w:rsid w:val="00920F07"/>
    <w:rsid w:val="00923519"/>
    <w:rsid w:val="00927E56"/>
    <w:rsid w:val="00945134"/>
    <w:rsid w:val="009479CD"/>
    <w:rsid w:val="00951235"/>
    <w:rsid w:val="00953620"/>
    <w:rsid w:val="00955CA1"/>
    <w:rsid w:val="00976C99"/>
    <w:rsid w:val="00992634"/>
    <w:rsid w:val="00996251"/>
    <w:rsid w:val="009A1546"/>
    <w:rsid w:val="009D5BA0"/>
    <w:rsid w:val="009E7086"/>
    <w:rsid w:val="009F01A3"/>
    <w:rsid w:val="00A11407"/>
    <w:rsid w:val="00A27181"/>
    <w:rsid w:val="00A32077"/>
    <w:rsid w:val="00A35E1C"/>
    <w:rsid w:val="00A41427"/>
    <w:rsid w:val="00A54754"/>
    <w:rsid w:val="00A93622"/>
    <w:rsid w:val="00AA635E"/>
    <w:rsid w:val="00AB6E53"/>
    <w:rsid w:val="00AC6F79"/>
    <w:rsid w:val="00B110BA"/>
    <w:rsid w:val="00B21440"/>
    <w:rsid w:val="00B61CD5"/>
    <w:rsid w:val="00B931C5"/>
    <w:rsid w:val="00B94518"/>
    <w:rsid w:val="00BA1E92"/>
    <w:rsid w:val="00BB0BBF"/>
    <w:rsid w:val="00BB2CCE"/>
    <w:rsid w:val="00BB3A71"/>
    <w:rsid w:val="00BC22A9"/>
    <w:rsid w:val="00BC73B1"/>
    <w:rsid w:val="00BD5E43"/>
    <w:rsid w:val="00C234DB"/>
    <w:rsid w:val="00C3038D"/>
    <w:rsid w:val="00C568A1"/>
    <w:rsid w:val="00C60D4E"/>
    <w:rsid w:val="00CB448A"/>
    <w:rsid w:val="00CB5D15"/>
    <w:rsid w:val="00CD2354"/>
    <w:rsid w:val="00CD51EE"/>
    <w:rsid w:val="00D11014"/>
    <w:rsid w:val="00D15536"/>
    <w:rsid w:val="00D46488"/>
    <w:rsid w:val="00D73EDD"/>
    <w:rsid w:val="00D94067"/>
    <w:rsid w:val="00DB20C2"/>
    <w:rsid w:val="00E02BD5"/>
    <w:rsid w:val="00E2278E"/>
    <w:rsid w:val="00E23C44"/>
    <w:rsid w:val="00E23DCE"/>
    <w:rsid w:val="00E91602"/>
    <w:rsid w:val="00EC16DF"/>
    <w:rsid w:val="00EE6422"/>
    <w:rsid w:val="00EF4BF1"/>
    <w:rsid w:val="00EF707B"/>
    <w:rsid w:val="00F01BDE"/>
    <w:rsid w:val="00F35E1F"/>
    <w:rsid w:val="00F62D31"/>
    <w:rsid w:val="00F6328B"/>
    <w:rsid w:val="00F91883"/>
    <w:rsid w:val="00FC4B51"/>
    <w:rsid w:val="00FD2201"/>
    <w:rsid w:val="00FE28BC"/>
    <w:rsid w:val="00FF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BA38F74A.dotm</Template>
  <TotalTime>0</TotalTime>
  <Pages>2</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37</cp:revision>
  <dcterms:created xsi:type="dcterms:W3CDTF">2020-02-06T10:35:00Z</dcterms:created>
  <dcterms:modified xsi:type="dcterms:W3CDTF">2020-02-06T11:14:00Z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id="x1Vbv41W"/&gt;&lt;style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