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C362E" w14:textId="77777777" w:rsidR="006E4A17" w:rsidRPr="00E63C4B" w:rsidRDefault="006E4A17" w:rsidP="0065727E">
      <w:pPr>
        <w:spacing w:before="100" w:beforeAutospacing="1" w:after="100" w:afterAutospacing="1" w:line="480" w:lineRule="auto"/>
        <w:jc w:val="center"/>
        <w:rPr>
          <w:rFonts w:cs="Times New Roman"/>
          <w:b/>
        </w:rPr>
      </w:pPr>
    </w:p>
    <w:p w14:paraId="65EF93EE" w14:textId="4560F08A" w:rsidR="008E3C63" w:rsidRPr="00E63C4B" w:rsidRDefault="00000000" w:rsidP="0065727E">
      <w:pPr>
        <w:spacing w:before="100" w:beforeAutospacing="1" w:after="100" w:afterAutospacing="1" w:line="480" w:lineRule="auto"/>
        <w:jc w:val="center"/>
        <w:rPr>
          <w:rFonts w:cs="Times New Roman"/>
          <w:b/>
          <w:szCs w:val="24"/>
        </w:rPr>
      </w:pPr>
      <w:r w:rsidRPr="00E63C4B">
        <w:rPr>
          <w:rFonts w:cs="Times New Roman"/>
          <w:b/>
          <w:szCs w:val="24"/>
        </w:rPr>
        <w:t xml:space="preserve">Assignment </w:t>
      </w:r>
      <w:r w:rsidR="00212012" w:rsidRPr="00E63C4B">
        <w:rPr>
          <w:rFonts w:cs="Times New Roman"/>
          <w:b/>
          <w:szCs w:val="24"/>
        </w:rPr>
        <w:t>4</w:t>
      </w:r>
      <w:r w:rsidRPr="00E63C4B">
        <w:rPr>
          <w:rFonts w:cs="Times New Roman"/>
          <w:b/>
          <w:szCs w:val="24"/>
        </w:rPr>
        <w:t xml:space="preserve">: </w:t>
      </w:r>
      <w:r w:rsidR="0036151F" w:rsidRPr="00E63C4B">
        <w:rPr>
          <w:rFonts w:cs="Times New Roman"/>
          <w:b/>
          <w:szCs w:val="24"/>
        </w:rPr>
        <w:t xml:space="preserve">Build Non-Linear Models Part </w:t>
      </w:r>
      <w:r w:rsidR="00212012" w:rsidRPr="00E63C4B">
        <w:rPr>
          <w:rFonts w:cs="Times New Roman"/>
          <w:b/>
          <w:szCs w:val="24"/>
        </w:rPr>
        <w:t>2</w:t>
      </w:r>
    </w:p>
    <w:p w14:paraId="516717B7" w14:textId="77777777" w:rsidR="00332C56" w:rsidRPr="00E63C4B" w:rsidRDefault="00332C56" w:rsidP="0065727E">
      <w:pPr>
        <w:spacing w:before="100" w:beforeAutospacing="1" w:after="100" w:afterAutospacing="1" w:line="480" w:lineRule="auto"/>
        <w:jc w:val="center"/>
        <w:rPr>
          <w:rFonts w:cs="Times New Roman"/>
          <w:szCs w:val="24"/>
        </w:rPr>
      </w:pPr>
      <w:r w:rsidRPr="00E63C4B">
        <w:rPr>
          <w:rFonts w:cs="Times New Roman"/>
          <w:szCs w:val="24"/>
        </w:rPr>
        <w:t>Abigail Albury-Bloom</w:t>
      </w:r>
    </w:p>
    <w:p w14:paraId="7B05AC68" w14:textId="77777777" w:rsidR="00332C56" w:rsidRPr="00E63C4B" w:rsidRDefault="00332C56" w:rsidP="0065727E">
      <w:pPr>
        <w:spacing w:before="100" w:beforeAutospacing="1" w:after="100" w:afterAutospacing="1" w:line="480" w:lineRule="auto"/>
        <w:jc w:val="center"/>
        <w:rPr>
          <w:rFonts w:cs="Times New Roman"/>
          <w:szCs w:val="24"/>
        </w:rPr>
      </w:pPr>
      <w:r w:rsidRPr="00E63C4B">
        <w:rPr>
          <w:rFonts w:cs="Times New Roman"/>
          <w:szCs w:val="24"/>
        </w:rPr>
        <w:t>National University</w:t>
      </w:r>
    </w:p>
    <w:p w14:paraId="23B40553" w14:textId="77777777" w:rsidR="00332C56" w:rsidRPr="00E63C4B" w:rsidRDefault="00332C56" w:rsidP="0065727E">
      <w:pPr>
        <w:spacing w:before="100" w:beforeAutospacing="1" w:after="100" w:afterAutospacing="1" w:line="480" w:lineRule="auto"/>
        <w:jc w:val="center"/>
        <w:rPr>
          <w:rFonts w:cs="Times New Roman"/>
          <w:szCs w:val="24"/>
        </w:rPr>
      </w:pPr>
      <w:r w:rsidRPr="00E63C4B">
        <w:rPr>
          <w:rFonts w:cs="Times New Roman"/>
          <w:szCs w:val="24"/>
        </w:rPr>
        <w:t>DDS-8555 Predictive Analysis</w:t>
      </w:r>
    </w:p>
    <w:p w14:paraId="3AC2774A" w14:textId="21258024" w:rsidR="00332C56" w:rsidRPr="00E63C4B" w:rsidRDefault="00332C56" w:rsidP="0065727E">
      <w:pPr>
        <w:spacing w:before="100" w:beforeAutospacing="1" w:after="100" w:afterAutospacing="1" w:line="480" w:lineRule="auto"/>
        <w:jc w:val="center"/>
        <w:rPr>
          <w:rFonts w:cs="Times New Roman"/>
          <w:szCs w:val="24"/>
        </w:rPr>
      </w:pPr>
      <w:r w:rsidRPr="00E63C4B">
        <w:rPr>
          <w:rFonts w:cs="Times New Roman"/>
          <w:szCs w:val="24"/>
        </w:rPr>
        <w:t xml:space="preserve">Dr. Mohammad </w:t>
      </w:r>
      <w:proofErr w:type="spellStart"/>
      <w:r w:rsidRPr="00E63C4B">
        <w:rPr>
          <w:rFonts w:cs="Times New Roman"/>
          <w:szCs w:val="24"/>
        </w:rPr>
        <w:t>Yavarimanesh</w:t>
      </w:r>
      <w:proofErr w:type="spellEnd"/>
    </w:p>
    <w:p w14:paraId="330AFCC2" w14:textId="3AB1749B" w:rsidR="006E4A17" w:rsidRPr="00E63C4B" w:rsidRDefault="006E4A17" w:rsidP="0065727E">
      <w:pPr>
        <w:spacing w:before="100" w:beforeAutospacing="1" w:after="100" w:afterAutospacing="1" w:line="480" w:lineRule="auto"/>
        <w:jc w:val="center"/>
        <w:rPr>
          <w:rFonts w:cs="Times New Roman"/>
          <w:szCs w:val="24"/>
        </w:rPr>
      </w:pPr>
      <w:r w:rsidRPr="00E63C4B">
        <w:rPr>
          <w:rFonts w:cs="Times New Roman"/>
          <w:szCs w:val="24"/>
        </w:rPr>
        <w:t xml:space="preserve">November </w:t>
      </w:r>
      <w:r w:rsidR="00212012" w:rsidRPr="00E63C4B">
        <w:rPr>
          <w:rFonts w:cs="Times New Roman"/>
          <w:szCs w:val="24"/>
        </w:rPr>
        <w:t>23</w:t>
      </w:r>
      <w:r w:rsidRPr="00E63C4B">
        <w:rPr>
          <w:rFonts w:cs="Times New Roman"/>
          <w:szCs w:val="24"/>
        </w:rPr>
        <w:t>, 2025</w:t>
      </w:r>
    </w:p>
    <w:p w14:paraId="25A1993E" w14:textId="77777777" w:rsidR="00167A09" w:rsidRPr="00E63C4B" w:rsidRDefault="00167A09" w:rsidP="0065727E">
      <w:pPr>
        <w:spacing w:before="100" w:beforeAutospacing="1" w:after="100" w:afterAutospacing="1" w:line="480" w:lineRule="auto"/>
        <w:jc w:val="center"/>
        <w:rPr>
          <w:rFonts w:cs="Times New Roman"/>
          <w:szCs w:val="24"/>
        </w:rPr>
      </w:pPr>
    </w:p>
    <w:p w14:paraId="024DCC92" w14:textId="77777777" w:rsidR="00E63C4B" w:rsidRPr="00E63C4B" w:rsidRDefault="006E4A17" w:rsidP="00E63C4B">
      <w:pPr>
        <w:pStyle w:val="Heading1"/>
        <w:spacing w:line="480" w:lineRule="auto"/>
        <w:jc w:val="center"/>
        <w:rPr>
          <w:rFonts w:ascii="Times New Roman" w:hAnsi="Times New Roman" w:cs="Times New Roman"/>
        </w:rPr>
      </w:pPr>
      <w:r w:rsidRPr="00E63C4B">
        <w:rPr>
          <w:rFonts w:ascii="Times New Roman" w:hAnsi="Times New Roman" w:cs="Times New Roman"/>
        </w:rPr>
        <w:br w:type="page"/>
      </w:r>
      <w:r w:rsidR="00E63C4B" w:rsidRPr="00E63C4B">
        <w:rPr>
          <w:rFonts w:ascii="Times New Roman" w:hAnsi="Times New Roman" w:cs="Times New Roman"/>
        </w:rPr>
        <w:lastRenderedPageBreak/>
        <w:t>Conceptual Question 3 (ISLR p. 326)</w:t>
      </w:r>
    </w:p>
    <w:p w14:paraId="7DAD9D2E" w14:textId="77777777" w:rsidR="00E63C4B" w:rsidRPr="00E63C4B" w:rsidRDefault="00E63C4B" w:rsidP="00E63C4B">
      <w:pPr>
        <w:spacing w:line="480" w:lineRule="auto"/>
        <w:ind w:firstLine="720"/>
        <w:rPr>
          <w:rFonts w:cs="Times New Roman"/>
        </w:rPr>
      </w:pPr>
      <w:r w:rsidRPr="00E63C4B">
        <w:rPr>
          <w:rFonts w:cs="Times New Roman"/>
        </w:rPr>
        <w:t xml:space="preserve">This question analyzes a model composed of two </w:t>
      </w:r>
      <w:proofErr w:type="spellStart"/>
      <w:r w:rsidRPr="00E63C4B">
        <w:rPr>
          <w:rFonts w:cs="Times New Roman"/>
        </w:rPr>
        <w:t>basis</w:t>
      </w:r>
      <w:proofErr w:type="spellEnd"/>
      <w:r w:rsidRPr="00E63C4B">
        <w:rPr>
          <w:rFonts w:cs="Times New Roman"/>
        </w:rPr>
        <w:t xml:space="preserve"> functions: b₁(X) = X and b₂(X) = (X − </w:t>
      </w:r>
      <w:proofErr w:type="gramStart"/>
      <w:r w:rsidRPr="00E63C4B">
        <w:rPr>
          <w:rFonts w:cs="Times New Roman"/>
        </w:rPr>
        <w:t>1)²I(</w:t>
      </w:r>
      <w:proofErr w:type="gramEnd"/>
      <w:r w:rsidRPr="00E63C4B">
        <w:rPr>
          <w:rFonts w:cs="Times New Roman"/>
        </w:rPr>
        <w:t>X ≥ 1). These basis functions define a piecewise regression curve. For X &lt; 1, the prediction equation simplifies to a linear function with slope 1. For X ≥ 1, the activation of the squared term produces a downward-opening parabola. Despite the change in curvature, both the value and slope remain continuous at X = 1, illustrating how basis expansions allow models to flexibly capture structural shifts in predictor–response relationships (James et al., 2021; Wood, 2017).</w:t>
      </w:r>
    </w:p>
    <w:p w14:paraId="0873EAFF" w14:textId="77777777" w:rsidR="00E63C4B" w:rsidRPr="00E63C4B" w:rsidRDefault="00E63C4B" w:rsidP="00E63C4B">
      <w:pPr>
        <w:pStyle w:val="Heading1"/>
        <w:spacing w:line="480" w:lineRule="auto"/>
        <w:jc w:val="center"/>
        <w:rPr>
          <w:rFonts w:ascii="Times New Roman" w:hAnsi="Times New Roman" w:cs="Times New Roman"/>
        </w:rPr>
      </w:pPr>
      <w:r w:rsidRPr="00E63C4B">
        <w:rPr>
          <w:rFonts w:ascii="Times New Roman" w:hAnsi="Times New Roman" w:cs="Times New Roman"/>
        </w:rPr>
        <w:t>Applied Question 8 (ISLR p. 327)</w:t>
      </w:r>
    </w:p>
    <w:p w14:paraId="620AF7A6" w14:textId="77777777" w:rsidR="00E63C4B" w:rsidRPr="00E63C4B" w:rsidRDefault="00E63C4B" w:rsidP="00E63C4B">
      <w:pPr>
        <w:spacing w:line="480" w:lineRule="auto"/>
        <w:ind w:firstLine="720"/>
        <w:rPr>
          <w:rFonts w:cs="Times New Roman"/>
        </w:rPr>
      </w:pPr>
      <w:r w:rsidRPr="00E63C4B">
        <w:rPr>
          <w:rFonts w:cs="Times New Roman"/>
        </w:rPr>
        <w:t>To determine whether non-linear patterns exist in the Auto dataset, three models were fitted: a linear regression model, a cubic polynomial regression model, and a natural spline model. The linear model demonstrated systematic residual patterns, indicating underfitting. Both the polynomial and spline models captured a pronounced non-linear relationship between horsepower and MPG, characterized by a steep decline at lower horsepower values and a plateau at higher values. These results demonstrate strong evidence of non-linearity and highlight the importance of flexible regression techniques when relationships are not adequately modeled by straight-line fits (James et al., 2021; Harrell, 2015).</w:t>
      </w:r>
    </w:p>
    <w:p w14:paraId="59CB924A" w14:textId="77777777" w:rsidR="00E63C4B" w:rsidRPr="00E63C4B" w:rsidRDefault="00E63C4B" w:rsidP="00E63C4B">
      <w:pPr>
        <w:pStyle w:val="Heading1"/>
        <w:spacing w:line="480" w:lineRule="auto"/>
        <w:jc w:val="center"/>
        <w:rPr>
          <w:rFonts w:ascii="Times New Roman" w:hAnsi="Times New Roman" w:cs="Times New Roman"/>
        </w:rPr>
      </w:pPr>
      <w:r w:rsidRPr="00E63C4B">
        <w:rPr>
          <w:rFonts w:ascii="Times New Roman" w:hAnsi="Times New Roman" w:cs="Times New Roman"/>
        </w:rPr>
        <w:t>Executive Summary</w:t>
      </w:r>
    </w:p>
    <w:p w14:paraId="29C05EFC" w14:textId="77777777" w:rsidR="00ED003A" w:rsidRDefault="00ED003A" w:rsidP="00ED003A">
      <w:pPr>
        <w:pStyle w:val="NormalWeb"/>
        <w:spacing w:line="480" w:lineRule="auto"/>
        <w:ind w:firstLine="720"/>
      </w:pPr>
      <w:r>
        <w:t xml:space="preserve">This week’s lecture and assigned readings introduced two central approaches for modeling non-linear relationships in regression analysis: polynomial regression and </w:t>
      </w:r>
      <w:r>
        <w:lastRenderedPageBreak/>
        <w:t>spline-based regression. Polynomial regression expands a linear model by incorporating higher-order transformations of predictors, which allows the fitted function to reflect smooth global curvature. Spline-based regression provides greater local flexibility by partitioning the predictor into segments and fitting lower-degree polynomials within each segment while maintaining smoothness at the boundaries. These methods offer more accurate representations of real-world relationships that do not follow a straight-line pattern (Harrell, 2015; Wood, 2017).</w:t>
      </w:r>
    </w:p>
    <w:p w14:paraId="5408A8EF" w14:textId="77777777" w:rsidR="00ED003A" w:rsidRDefault="00ED003A" w:rsidP="00ED003A">
      <w:pPr>
        <w:pStyle w:val="NormalWeb"/>
        <w:spacing w:line="480" w:lineRule="auto"/>
        <w:ind w:firstLine="720"/>
      </w:pPr>
      <w:r>
        <w:t>The usefulness of these approaches was demonstrated through their application to the Auto dataset. When predicting miles per gallon from horsepower, both polynomial and spline models captured the curved, non-linear relationship more effectively than a simple linear regression model. Visual patterns and residual diagnostics confirmed that non-linear methods produced better model fits and reduced systematic errors, which aligns with recommended practices in statistical learning when curvature is present in the data (James et al., 2021; Jolliffe &amp; Cadima, 2016).</w:t>
      </w:r>
    </w:p>
    <w:p w14:paraId="6B45CC49" w14:textId="77777777" w:rsidR="00ED003A" w:rsidRDefault="00ED003A" w:rsidP="00ED003A">
      <w:pPr>
        <w:pStyle w:val="NormalWeb"/>
        <w:spacing w:line="480" w:lineRule="auto"/>
        <w:ind w:firstLine="720"/>
      </w:pPr>
      <w:r>
        <w:t>These modeling strategies were also applied to the Abalone dataset for the Kaggle competition. A polynomial regression model using all numeric predictors generated a flexible global fit that incorporated interactions and curvature across several measurements. A spline-based model applied to Length provided a more targeted representation of local changes, allowing the model to reflect nuanced relationships between shell length and the number of rings. Diagnostic plots and error metrics supported the conclusion that non-linear regression approaches were more suitable than linear alternatives for this dataset (Little &amp; Rubin, 2019; Harrell, 2015; Wood, 2017).</w:t>
      </w:r>
    </w:p>
    <w:p w14:paraId="65D93C4B" w14:textId="172F2587" w:rsidR="002B75B2" w:rsidRPr="00ED003A" w:rsidRDefault="00ED003A" w:rsidP="00ED003A">
      <w:pPr>
        <w:pStyle w:val="NormalWeb"/>
        <w:spacing w:line="480" w:lineRule="auto"/>
        <w:ind w:firstLine="720"/>
      </w:pPr>
      <w:r>
        <w:lastRenderedPageBreak/>
        <w:t>Overall, polynomial and spline-based regression models demonstrated clear advantages in modeling complex patterns and improving prediction accuracy. These methods illustrate the importance of selecting modeling techniques that match the underlying structure of the data rather than relying solely on linear assumptions.</w:t>
      </w:r>
    </w:p>
    <w:p w14:paraId="60AB203E" w14:textId="6A952438" w:rsidR="00E63C4B" w:rsidRDefault="00E63C4B" w:rsidP="002B75B2">
      <w:pPr>
        <w:pStyle w:val="Heading1"/>
        <w:spacing w:line="480" w:lineRule="auto"/>
        <w:jc w:val="center"/>
        <w:rPr>
          <w:rStyle w:val="Strong"/>
          <w:rFonts w:ascii="Times New Roman" w:hAnsi="Times New Roman" w:cs="Times New Roman"/>
          <w:b/>
          <w:bCs/>
        </w:rPr>
      </w:pPr>
      <w:r w:rsidRPr="00E63C4B">
        <w:rPr>
          <w:rStyle w:val="Strong"/>
          <w:rFonts w:ascii="Times New Roman" w:hAnsi="Times New Roman" w:cs="Times New Roman"/>
          <w:b/>
          <w:bCs/>
        </w:rPr>
        <w:t>Kaggle Submission Evidence</w:t>
      </w:r>
    </w:p>
    <w:p w14:paraId="76FF8024" w14:textId="559D1187" w:rsidR="00ED003A" w:rsidRPr="00ED003A" w:rsidRDefault="00ED003A" w:rsidP="00ED003A">
      <w:r w:rsidRPr="00ED003A">
        <w:drawing>
          <wp:inline distT="0" distB="0" distL="0" distR="0" wp14:anchorId="05B6433C" wp14:editId="4A097A0B">
            <wp:extent cx="5486400" cy="2849880"/>
            <wp:effectExtent l="0" t="0" r="0" b="0"/>
            <wp:docPr id="17720312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31212" name="Picture 1" descr="A screenshot of a computer&#10;&#10;AI-generated content may be incorrect."/>
                    <pic:cNvPicPr/>
                  </pic:nvPicPr>
                  <pic:blipFill>
                    <a:blip r:embed="rId6"/>
                    <a:stretch>
                      <a:fillRect/>
                    </a:stretch>
                  </pic:blipFill>
                  <pic:spPr>
                    <a:xfrm>
                      <a:off x="0" y="0"/>
                      <a:ext cx="5486400" cy="2849880"/>
                    </a:xfrm>
                    <a:prstGeom prst="rect">
                      <a:avLst/>
                    </a:prstGeom>
                  </pic:spPr>
                </pic:pic>
              </a:graphicData>
            </a:graphic>
          </wp:inline>
        </w:drawing>
      </w:r>
    </w:p>
    <w:p w14:paraId="2000D393" w14:textId="77777777" w:rsidR="00E63C4B" w:rsidRPr="00E63C4B" w:rsidRDefault="00E63C4B" w:rsidP="00E63C4B">
      <w:pPr>
        <w:pStyle w:val="Heading1"/>
        <w:spacing w:line="480" w:lineRule="auto"/>
        <w:jc w:val="center"/>
        <w:rPr>
          <w:rStyle w:val="Strong"/>
          <w:rFonts w:ascii="Times New Roman" w:hAnsi="Times New Roman" w:cs="Times New Roman"/>
          <w:b/>
          <w:bCs/>
        </w:rPr>
      </w:pPr>
      <w:r w:rsidRPr="00E63C4B">
        <w:rPr>
          <w:rStyle w:val="Strong"/>
          <w:rFonts w:ascii="Times New Roman" w:hAnsi="Times New Roman" w:cs="Times New Roman"/>
          <w:b/>
          <w:bCs/>
        </w:rPr>
        <w:t>GitHub Repository Link</w:t>
      </w:r>
    </w:p>
    <w:p w14:paraId="63E4EED4" w14:textId="59EB08FF" w:rsidR="00E63C4B" w:rsidRDefault="00E63C4B" w:rsidP="002B75B2">
      <w:pPr>
        <w:spacing w:line="480" w:lineRule="auto"/>
        <w:jc w:val="center"/>
        <w:rPr>
          <w:rFonts w:cs="Times New Roman"/>
        </w:rPr>
      </w:pPr>
      <w:hyperlink r:id="rId7" w:history="1">
        <w:r w:rsidRPr="00E63C4B">
          <w:rPr>
            <w:rStyle w:val="Hyperlink"/>
            <w:rFonts w:cs="Times New Roman"/>
          </w:rPr>
          <w:t>https://github.com/alburybloom/DDS85</w:t>
        </w:r>
        <w:r w:rsidRPr="00E63C4B">
          <w:rPr>
            <w:rStyle w:val="Hyperlink"/>
            <w:rFonts w:cs="Times New Roman"/>
          </w:rPr>
          <w:t>5</w:t>
        </w:r>
        <w:r w:rsidRPr="00E63C4B">
          <w:rPr>
            <w:rStyle w:val="Hyperlink"/>
            <w:rFonts w:cs="Times New Roman"/>
          </w:rPr>
          <w:t>5-4</w:t>
        </w:r>
      </w:hyperlink>
    </w:p>
    <w:p w14:paraId="7538160C" w14:textId="77777777" w:rsidR="002B75B2" w:rsidRPr="00E63C4B" w:rsidRDefault="002B75B2" w:rsidP="002B75B2">
      <w:pPr>
        <w:spacing w:line="480" w:lineRule="auto"/>
        <w:jc w:val="center"/>
        <w:rPr>
          <w:rFonts w:cs="Times New Roman"/>
        </w:rPr>
      </w:pPr>
    </w:p>
    <w:p w14:paraId="7AFB201C" w14:textId="77777777" w:rsidR="002B75B2" w:rsidRDefault="002B75B2">
      <w:pPr>
        <w:rPr>
          <w:rFonts w:eastAsiaTheme="majorEastAsia" w:cs="Times New Roman"/>
          <w:b/>
          <w:bCs/>
          <w:color w:val="365F91" w:themeColor="accent1" w:themeShade="BF"/>
          <w:sz w:val="28"/>
          <w:szCs w:val="28"/>
        </w:rPr>
      </w:pPr>
      <w:r>
        <w:rPr>
          <w:rFonts w:cs="Times New Roman"/>
        </w:rPr>
        <w:br w:type="page"/>
      </w:r>
    </w:p>
    <w:p w14:paraId="57204C33" w14:textId="03B2BCA1" w:rsidR="00E63C4B" w:rsidRPr="00E63C4B" w:rsidRDefault="00E63C4B" w:rsidP="00E63C4B">
      <w:pPr>
        <w:pStyle w:val="Heading1"/>
        <w:spacing w:line="480" w:lineRule="auto"/>
        <w:jc w:val="center"/>
        <w:rPr>
          <w:rFonts w:ascii="Times New Roman" w:hAnsi="Times New Roman" w:cs="Times New Roman"/>
        </w:rPr>
      </w:pPr>
      <w:r w:rsidRPr="00E63C4B">
        <w:rPr>
          <w:rFonts w:ascii="Times New Roman" w:hAnsi="Times New Roman" w:cs="Times New Roman"/>
        </w:rPr>
        <w:lastRenderedPageBreak/>
        <w:t>References</w:t>
      </w:r>
    </w:p>
    <w:p w14:paraId="0D181773" w14:textId="72CEFAC8" w:rsidR="00E63C4B" w:rsidRPr="00E63C4B" w:rsidRDefault="00E63C4B" w:rsidP="00E63C4B">
      <w:pPr>
        <w:spacing w:line="480" w:lineRule="auto"/>
        <w:ind w:left="720" w:hanging="720"/>
        <w:rPr>
          <w:rFonts w:cs="Times New Roman"/>
        </w:rPr>
      </w:pPr>
      <w:r w:rsidRPr="00E63C4B">
        <w:rPr>
          <w:rFonts w:cs="Times New Roman"/>
        </w:rPr>
        <w:t xml:space="preserve">Harrell, F. E. (2015). </w:t>
      </w:r>
      <w:r w:rsidRPr="002B75B2">
        <w:rPr>
          <w:rFonts w:cs="Times New Roman"/>
          <w:i/>
          <w:iCs/>
        </w:rPr>
        <w:t xml:space="preserve">Regression modeling strategies </w:t>
      </w:r>
      <w:r w:rsidRPr="00E63C4B">
        <w:rPr>
          <w:rFonts w:cs="Times New Roman"/>
        </w:rPr>
        <w:t>(2nd ed.). Springer.</w:t>
      </w:r>
    </w:p>
    <w:p w14:paraId="70483EDD" w14:textId="77777777" w:rsidR="00E63C4B" w:rsidRPr="00E63C4B" w:rsidRDefault="00E63C4B" w:rsidP="00E63C4B">
      <w:pPr>
        <w:spacing w:line="480" w:lineRule="auto"/>
        <w:ind w:left="720" w:hanging="720"/>
        <w:rPr>
          <w:rFonts w:cs="Times New Roman"/>
        </w:rPr>
      </w:pPr>
      <w:r w:rsidRPr="00E63C4B">
        <w:rPr>
          <w:rFonts w:cs="Times New Roman"/>
        </w:rPr>
        <w:t xml:space="preserve">James, G., Witten, D., Hastie, T., &amp; </w:t>
      </w:r>
      <w:proofErr w:type="spellStart"/>
      <w:r w:rsidRPr="00E63C4B">
        <w:rPr>
          <w:rFonts w:cs="Times New Roman"/>
        </w:rPr>
        <w:t>Tibshirani</w:t>
      </w:r>
      <w:proofErr w:type="spellEnd"/>
      <w:r w:rsidRPr="00E63C4B">
        <w:rPr>
          <w:rFonts w:cs="Times New Roman"/>
        </w:rPr>
        <w:t>, R. (2021). *An introduction to statistical learning with Python*. Springer.</w:t>
      </w:r>
    </w:p>
    <w:p w14:paraId="1EA084F2" w14:textId="754C313B" w:rsidR="00E63C4B" w:rsidRPr="00E63C4B" w:rsidRDefault="00E63C4B" w:rsidP="00E63C4B">
      <w:pPr>
        <w:spacing w:line="480" w:lineRule="auto"/>
        <w:ind w:left="720" w:hanging="720"/>
        <w:rPr>
          <w:rFonts w:cs="Times New Roman"/>
        </w:rPr>
      </w:pPr>
      <w:r w:rsidRPr="00E63C4B">
        <w:rPr>
          <w:rFonts w:cs="Times New Roman"/>
        </w:rPr>
        <w:t xml:space="preserve">Jolliffe, I. T., &amp; Cadima, J. (2016). Principal component analysis: A review and recent developments. </w:t>
      </w:r>
      <w:r w:rsidRPr="002B75B2">
        <w:rPr>
          <w:rFonts w:cs="Times New Roman"/>
          <w:i/>
          <w:iCs/>
        </w:rPr>
        <w:t>Philosophical Transactions of the Royal Society A</w:t>
      </w:r>
      <w:r w:rsidRPr="00E63C4B">
        <w:rPr>
          <w:rFonts w:cs="Times New Roman"/>
        </w:rPr>
        <w:t>, 374(2065), 20150202.</w:t>
      </w:r>
    </w:p>
    <w:p w14:paraId="0F18F788" w14:textId="502D5405" w:rsidR="00E63C4B" w:rsidRPr="00E63C4B" w:rsidRDefault="00E63C4B" w:rsidP="00E63C4B">
      <w:pPr>
        <w:spacing w:line="480" w:lineRule="auto"/>
        <w:ind w:left="720" w:hanging="720"/>
        <w:rPr>
          <w:rFonts w:cs="Times New Roman"/>
        </w:rPr>
      </w:pPr>
      <w:r w:rsidRPr="00E63C4B">
        <w:rPr>
          <w:rFonts w:cs="Times New Roman"/>
        </w:rPr>
        <w:t xml:space="preserve">Little, R. J. A., &amp; Rubin, D. B. (2019). </w:t>
      </w:r>
      <w:r w:rsidRPr="002B75B2">
        <w:rPr>
          <w:rFonts w:cs="Times New Roman"/>
          <w:i/>
          <w:iCs/>
        </w:rPr>
        <w:t>Statistical analysis with missing data</w:t>
      </w:r>
      <w:r w:rsidRPr="00E63C4B">
        <w:rPr>
          <w:rFonts w:cs="Times New Roman"/>
        </w:rPr>
        <w:t xml:space="preserve"> (3rd ed.). Wiley.</w:t>
      </w:r>
    </w:p>
    <w:p w14:paraId="4BDCD80C" w14:textId="0898BC87" w:rsidR="00E63C4B" w:rsidRPr="00E63C4B" w:rsidRDefault="00E63C4B" w:rsidP="00E63C4B">
      <w:pPr>
        <w:spacing w:line="480" w:lineRule="auto"/>
        <w:ind w:left="720" w:hanging="720"/>
        <w:rPr>
          <w:rFonts w:cs="Times New Roman"/>
        </w:rPr>
      </w:pPr>
      <w:r w:rsidRPr="00E63C4B">
        <w:rPr>
          <w:rFonts w:cs="Times New Roman"/>
        </w:rPr>
        <w:t xml:space="preserve">Wood, S. N. (2017). </w:t>
      </w:r>
      <w:r w:rsidRPr="002B75B2">
        <w:rPr>
          <w:rFonts w:cs="Times New Roman"/>
          <w:i/>
          <w:iCs/>
        </w:rPr>
        <w:t>Generalized additive models: An introduction with R</w:t>
      </w:r>
      <w:r w:rsidRPr="00E63C4B">
        <w:rPr>
          <w:rFonts w:cs="Times New Roman"/>
        </w:rPr>
        <w:t xml:space="preserve"> (2nd ed.). CRC Press.</w:t>
      </w:r>
    </w:p>
    <w:p w14:paraId="27EE3AC9" w14:textId="77777777" w:rsidR="00E63C4B" w:rsidRPr="00E63C4B" w:rsidRDefault="00E63C4B" w:rsidP="00E63C4B">
      <w:pPr>
        <w:spacing w:line="480" w:lineRule="auto"/>
        <w:rPr>
          <w:rFonts w:cs="Times New Roman"/>
        </w:rPr>
      </w:pPr>
    </w:p>
    <w:p w14:paraId="760AF485" w14:textId="13C45F9A" w:rsidR="008E3C63" w:rsidRDefault="008E3C63" w:rsidP="00E63C4B">
      <w:pPr>
        <w:spacing w:line="480" w:lineRule="auto"/>
      </w:pPr>
    </w:p>
    <w:sectPr w:rsidR="008E3C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7056E9"/>
    <w:multiLevelType w:val="multilevel"/>
    <w:tmpl w:val="DAFC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347032"/>
    <w:multiLevelType w:val="multilevel"/>
    <w:tmpl w:val="F772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85C4B"/>
    <w:multiLevelType w:val="multilevel"/>
    <w:tmpl w:val="0A6A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F3043C"/>
    <w:multiLevelType w:val="multilevel"/>
    <w:tmpl w:val="4A72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077967"/>
    <w:multiLevelType w:val="multilevel"/>
    <w:tmpl w:val="4A32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7A4426"/>
    <w:multiLevelType w:val="multilevel"/>
    <w:tmpl w:val="2C5E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4395334">
    <w:abstractNumId w:val="8"/>
  </w:num>
  <w:num w:numId="2" w16cid:durableId="786698723">
    <w:abstractNumId w:val="6"/>
  </w:num>
  <w:num w:numId="3" w16cid:durableId="1187334300">
    <w:abstractNumId w:val="5"/>
  </w:num>
  <w:num w:numId="4" w16cid:durableId="365525479">
    <w:abstractNumId w:val="4"/>
  </w:num>
  <w:num w:numId="5" w16cid:durableId="1868134691">
    <w:abstractNumId w:val="7"/>
  </w:num>
  <w:num w:numId="6" w16cid:durableId="1460342309">
    <w:abstractNumId w:val="3"/>
  </w:num>
  <w:num w:numId="7" w16cid:durableId="593056704">
    <w:abstractNumId w:val="2"/>
  </w:num>
  <w:num w:numId="8" w16cid:durableId="1640375903">
    <w:abstractNumId w:val="1"/>
  </w:num>
  <w:num w:numId="9" w16cid:durableId="1694645844">
    <w:abstractNumId w:val="0"/>
  </w:num>
  <w:num w:numId="10" w16cid:durableId="1403411385">
    <w:abstractNumId w:val="14"/>
  </w:num>
  <w:num w:numId="11" w16cid:durableId="1369450058">
    <w:abstractNumId w:val="11"/>
  </w:num>
  <w:num w:numId="12" w16cid:durableId="978190909">
    <w:abstractNumId w:val="10"/>
  </w:num>
  <w:num w:numId="13" w16cid:durableId="2145081181">
    <w:abstractNumId w:val="9"/>
  </w:num>
  <w:num w:numId="14" w16cid:durableId="78986706">
    <w:abstractNumId w:val="12"/>
  </w:num>
  <w:num w:numId="15" w16cid:durableId="14019036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383"/>
    <w:rsid w:val="00034616"/>
    <w:rsid w:val="0006063C"/>
    <w:rsid w:val="00081E1D"/>
    <w:rsid w:val="000A5888"/>
    <w:rsid w:val="0015074B"/>
    <w:rsid w:val="00167A09"/>
    <w:rsid w:val="00212012"/>
    <w:rsid w:val="0024202B"/>
    <w:rsid w:val="0029639D"/>
    <w:rsid w:val="002A60C3"/>
    <w:rsid w:val="002B75B2"/>
    <w:rsid w:val="002B77A0"/>
    <w:rsid w:val="002E366B"/>
    <w:rsid w:val="00326F90"/>
    <w:rsid w:val="00332C56"/>
    <w:rsid w:val="0036151F"/>
    <w:rsid w:val="0042219E"/>
    <w:rsid w:val="00496494"/>
    <w:rsid w:val="004A4DD8"/>
    <w:rsid w:val="0065727E"/>
    <w:rsid w:val="006736C0"/>
    <w:rsid w:val="006E4A17"/>
    <w:rsid w:val="00707A31"/>
    <w:rsid w:val="007128BC"/>
    <w:rsid w:val="00780D02"/>
    <w:rsid w:val="008E3C63"/>
    <w:rsid w:val="00937A37"/>
    <w:rsid w:val="009B0F4D"/>
    <w:rsid w:val="009E39BE"/>
    <w:rsid w:val="00AA1D8D"/>
    <w:rsid w:val="00AE6C44"/>
    <w:rsid w:val="00B47730"/>
    <w:rsid w:val="00C15C13"/>
    <w:rsid w:val="00C72918"/>
    <w:rsid w:val="00C92172"/>
    <w:rsid w:val="00CA2877"/>
    <w:rsid w:val="00CB0664"/>
    <w:rsid w:val="00CE7880"/>
    <w:rsid w:val="00D21F1F"/>
    <w:rsid w:val="00D27C5D"/>
    <w:rsid w:val="00E22787"/>
    <w:rsid w:val="00E63C4B"/>
    <w:rsid w:val="00ED003A"/>
    <w:rsid w:val="00F3483A"/>
    <w:rsid w:val="00F60DF9"/>
    <w:rsid w:val="00FB2E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1E8CC7"/>
  <w14:defaultImageDpi w14:val="300"/>
  <w15:docId w15:val="{C80E3EBD-C3CA-4466-A0AE-68661AE27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67A09"/>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unhideWhenUsed/>
    <w:rsid w:val="00780D02"/>
    <w:rPr>
      <w:color w:val="0000FF" w:themeColor="hyperlink"/>
      <w:u w:val="single"/>
    </w:rPr>
  </w:style>
  <w:style w:type="character" w:styleId="UnresolvedMention">
    <w:name w:val="Unresolved Mention"/>
    <w:basedOn w:val="DefaultParagraphFont"/>
    <w:uiPriority w:val="99"/>
    <w:semiHidden/>
    <w:unhideWhenUsed/>
    <w:rsid w:val="00780D02"/>
    <w:rPr>
      <w:color w:val="605E5C"/>
      <w:shd w:val="clear" w:color="auto" w:fill="E1DFDD"/>
    </w:rPr>
  </w:style>
  <w:style w:type="character" w:customStyle="1" w:styleId="relative">
    <w:name w:val="relative"/>
    <w:basedOn w:val="DefaultParagraphFont"/>
    <w:rsid w:val="00C15C13"/>
  </w:style>
  <w:style w:type="character" w:styleId="FollowedHyperlink">
    <w:name w:val="FollowedHyperlink"/>
    <w:basedOn w:val="DefaultParagraphFont"/>
    <w:uiPriority w:val="99"/>
    <w:semiHidden/>
    <w:unhideWhenUsed/>
    <w:rsid w:val="00E63C4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115915">
      <w:bodyDiv w:val="1"/>
      <w:marLeft w:val="0"/>
      <w:marRight w:val="0"/>
      <w:marTop w:val="0"/>
      <w:marBottom w:val="0"/>
      <w:divBdr>
        <w:top w:val="none" w:sz="0" w:space="0" w:color="auto"/>
        <w:left w:val="none" w:sz="0" w:space="0" w:color="auto"/>
        <w:bottom w:val="none" w:sz="0" w:space="0" w:color="auto"/>
        <w:right w:val="none" w:sz="0" w:space="0" w:color="auto"/>
      </w:divBdr>
    </w:div>
    <w:div w:id="977537084">
      <w:bodyDiv w:val="1"/>
      <w:marLeft w:val="0"/>
      <w:marRight w:val="0"/>
      <w:marTop w:val="0"/>
      <w:marBottom w:val="0"/>
      <w:divBdr>
        <w:top w:val="none" w:sz="0" w:space="0" w:color="auto"/>
        <w:left w:val="none" w:sz="0" w:space="0" w:color="auto"/>
        <w:bottom w:val="none" w:sz="0" w:space="0" w:color="auto"/>
        <w:right w:val="none" w:sz="0" w:space="0" w:color="auto"/>
      </w:divBdr>
    </w:div>
    <w:div w:id="1062827170">
      <w:bodyDiv w:val="1"/>
      <w:marLeft w:val="0"/>
      <w:marRight w:val="0"/>
      <w:marTop w:val="0"/>
      <w:marBottom w:val="0"/>
      <w:divBdr>
        <w:top w:val="none" w:sz="0" w:space="0" w:color="auto"/>
        <w:left w:val="none" w:sz="0" w:space="0" w:color="auto"/>
        <w:bottom w:val="none" w:sz="0" w:space="0" w:color="auto"/>
        <w:right w:val="none" w:sz="0" w:space="0" w:color="auto"/>
      </w:divBdr>
      <w:divsChild>
        <w:div w:id="96602311">
          <w:marLeft w:val="0"/>
          <w:marRight w:val="0"/>
          <w:marTop w:val="0"/>
          <w:marBottom w:val="0"/>
          <w:divBdr>
            <w:top w:val="none" w:sz="0" w:space="0" w:color="auto"/>
            <w:left w:val="none" w:sz="0" w:space="0" w:color="auto"/>
            <w:bottom w:val="none" w:sz="0" w:space="0" w:color="auto"/>
            <w:right w:val="none" w:sz="0" w:space="0" w:color="auto"/>
          </w:divBdr>
          <w:divsChild>
            <w:div w:id="16961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829557">
      <w:bodyDiv w:val="1"/>
      <w:marLeft w:val="0"/>
      <w:marRight w:val="0"/>
      <w:marTop w:val="0"/>
      <w:marBottom w:val="0"/>
      <w:divBdr>
        <w:top w:val="none" w:sz="0" w:space="0" w:color="auto"/>
        <w:left w:val="none" w:sz="0" w:space="0" w:color="auto"/>
        <w:bottom w:val="none" w:sz="0" w:space="0" w:color="auto"/>
        <w:right w:val="none" w:sz="0" w:space="0" w:color="auto"/>
      </w:divBdr>
      <w:divsChild>
        <w:div w:id="1926038530">
          <w:marLeft w:val="0"/>
          <w:marRight w:val="0"/>
          <w:marTop w:val="0"/>
          <w:marBottom w:val="0"/>
          <w:divBdr>
            <w:top w:val="none" w:sz="0" w:space="0" w:color="auto"/>
            <w:left w:val="none" w:sz="0" w:space="0" w:color="auto"/>
            <w:bottom w:val="none" w:sz="0" w:space="0" w:color="auto"/>
            <w:right w:val="none" w:sz="0" w:space="0" w:color="auto"/>
          </w:divBdr>
          <w:divsChild>
            <w:div w:id="135627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741601">
      <w:bodyDiv w:val="1"/>
      <w:marLeft w:val="0"/>
      <w:marRight w:val="0"/>
      <w:marTop w:val="0"/>
      <w:marBottom w:val="0"/>
      <w:divBdr>
        <w:top w:val="none" w:sz="0" w:space="0" w:color="auto"/>
        <w:left w:val="none" w:sz="0" w:space="0" w:color="auto"/>
        <w:bottom w:val="none" w:sz="0" w:space="0" w:color="auto"/>
        <w:right w:val="none" w:sz="0" w:space="0" w:color="auto"/>
      </w:divBdr>
    </w:div>
    <w:div w:id="16512058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alburybloom/DDS8555-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675</Words>
  <Characters>3848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Abigail Albury-Bloom</cp:lastModifiedBy>
  <cp:revision>3</cp:revision>
  <dcterms:created xsi:type="dcterms:W3CDTF">2025-11-16T22:20:00Z</dcterms:created>
  <dcterms:modified xsi:type="dcterms:W3CDTF">2025-11-16T22:57:00Z</dcterms:modified>
  <cp:category/>
</cp:coreProperties>
</file>