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40EE3" w14:textId="77777777" w:rsidR="001F0380" w:rsidRPr="004C1EA5" w:rsidRDefault="00000000" w:rsidP="004C1EA5">
      <w:pPr>
        <w:spacing w:line="480" w:lineRule="auto"/>
        <w:jc w:val="center"/>
        <w:rPr>
          <w:rFonts w:cs="Times New Roman"/>
        </w:rPr>
      </w:pPr>
      <w:r w:rsidRPr="004C1EA5">
        <w:rPr>
          <w:rFonts w:cs="Times New Roman"/>
          <w:b/>
        </w:rPr>
        <w:t>Assignment 5: Build and Evaluate Classification Models</w:t>
      </w:r>
    </w:p>
    <w:p w14:paraId="27BBEDF0" w14:textId="77777777" w:rsidR="001F0380" w:rsidRPr="004C1EA5" w:rsidRDefault="00000000" w:rsidP="004C1EA5">
      <w:pPr>
        <w:spacing w:line="480" w:lineRule="auto"/>
        <w:jc w:val="center"/>
        <w:rPr>
          <w:rFonts w:cs="Times New Roman"/>
        </w:rPr>
      </w:pPr>
      <w:r w:rsidRPr="004C1EA5">
        <w:rPr>
          <w:rFonts w:cs="Times New Roman"/>
        </w:rPr>
        <w:t>Abigail Albury-Bloom</w:t>
      </w:r>
    </w:p>
    <w:p w14:paraId="6FA3D0FF" w14:textId="77777777" w:rsidR="001F0380" w:rsidRPr="004C1EA5" w:rsidRDefault="00000000" w:rsidP="004C1EA5">
      <w:pPr>
        <w:spacing w:line="480" w:lineRule="auto"/>
        <w:jc w:val="center"/>
        <w:rPr>
          <w:rFonts w:cs="Times New Roman"/>
        </w:rPr>
      </w:pPr>
      <w:r w:rsidRPr="004C1EA5">
        <w:rPr>
          <w:rFonts w:cs="Times New Roman"/>
        </w:rPr>
        <w:t>National University</w:t>
      </w:r>
    </w:p>
    <w:p w14:paraId="7A95CB68" w14:textId="77777777" w:rsidR="001F0380" w:rsidRPr="004C1EA5" w:rsidRDefault="00000000" w:rsidP="004C1EA5">
      <w:pPr>
        <w:spacing w:line="480" w:lineRule="auto"/>
        <w:jc w:val="center"/>
        <w:rPr>
          <w:rFonts w:cs="Times New Roman"/>
        </w:rPr>
      </w:pPr>
      <w:r w:rsidRPr="004C1EA5">
        <w:rPr>
          <w:rFonts w:cs="Times New Roman"/>
        </w:rPr>
        <w:t>DDS-8555 Predictive Analysis</w:t>
      </w:r>
    </w:p>
    <w:p w14:paraId="5FA94FE3" w14:textId="77777777" w:rsidR="001F0380" w:rsidRPr="004C1EA5" w:rsidRDefault="00000000" w:rsidP="004C1EA5">
      <w:pPr>
        <w:spacing w:line="480" w:lineRule="auto"/>
        <w:jc w:val="center"/>
        <w:rPr>
          <w:rFonts w:cs="Times New Roman"/>
        </w:rPr>
      </w:pPr>
      <w:r w:rsidRPr="004C1EA5">
        <w:rPr>
          <w:rFonts w:cs="Times New Roman"/>
        </w:rPr>
        <w:t>Dr. Mohammad Yavarimanesh</w:t>
      </w:r>
    </w:p>
    <w:p w14:paraId="7D6AA216" w14:textId="77777777" w:rsidR="001F0380" w:rsidRPr="004C1EA5" w:rsidRDefault="00000000" w:rsidP="004C1EA5">
      <w:pPr>
        <w:spacing w:line="480" w:lineRule="auto"/>
        <w:jc w:val="center"/>
        <w:rPr>
          <w:rFonts w:cs="Times New Roman"/>
        </w:rPr>
      </w:pPr>
      <w:r w:rsidRPr="004C1EA5">
        <w:rPr>
          <w:rFonts w:cs="Times New Roman"/>
        </w:rPr>
        <w:t>November 30, 2025</w:t>
      </w:r>
    </w:p>
    <w:p w14:paraId="7ED91209" w14:textId="77777777" w:rsidR="001F0380" w:rsidRPr="004C1EA5" w:rsidRDefault="00000000" w:rsidP="004C1EA5">
      <w:pPr>
        <w:spacing w:line="480" w:lineRule="auto"/>
        <w:rPr>
          <w:rFonts w:cs="Times New Roman"/>
        </w:rPr>
      </w:pPr>
      <w:r w:rsidRPr="004C1EA5">
        <w:rPr>
          <w:rFonts w:cs="Times New Roman"/>
        </w:rPr>
        <w:br w:type="page"/>
      </w:r>
    </w:p>
    <w:p w14:paraId="6895E09F" w14:textId="77777777" w:rsidR="001F0380" w:rsidRPr="004C1EA5" w:rsidRDefault="00000000" w:rsidP="004C1EA5">
      <w:pPr>
        <w:pStyle w:val="Heading1"/>
        <w:spacing w:line="480" w:lineRule="auto"/>
        <w:jc w:val="center"/>
        <w:rPr>
          <w:rFonts w:ascii="Times New Roman" w:hAnsi="Times New Roman" w:cs="Times New Roman"/>
        </w:rPr>
      </w:pPr>
      <w:r w:rsidRPr="004C1EA5">
        <w:rPr>
          <w:rFonts w:ascii="Times New Roman" w:hAnsi="Times New Roman" w:cs="Times New Roman"/>
        </w:rPr>
        <w:lastRenderedPageBreak/>
        <w:t>Conceptual Question 1 (ISLR Python, p. 193)</w:t>
      </w:r>
    </w:p>
    <w:p w14:paraId="524AA3E7" w14:textId="4DFD8689" w:rsidR="001F0380" w:rsidRPr="004C1EA5" w:rsidRDefault="00000000" w:rsidP="004C1EA5">
      <w:pPr>
        <w:spacing w:line="480" w:lineRule="auto"/>
        <w:rPr>
          <w:rFonts w:cs="Times New Roman"/>
        </w:rPr>
      </w:pPr>
      <w:r w:rsidRPr="004C1EA5">
        <w:rPr>
          <w:rFonts w:cs="Times New Roman"/>
        </w:rPr>
        <w:t xml:space="preserve">The logit form of logistic regression expresses log odds as a linear function of the predictors. Specifically, log(p(x) / (1 − p(x))) = β0 + β1x. Exponentiating both sides gives p(x) / (1 − p(x)) = </w:t>
      </w:r>
      <w:proofErr w:type="gramStart"/>
      <w:r w:rsidRPr="004C1EA5">
        <w:rPr>
          <w:rFonts w:cs="Times New Roman"/>
        </w:rPr>
        <w:t>exp(</w:t>
      </w:r>
      <w:proofErr w:type="gramEnd"/>
      <w:r w:rsidRPr="004C1EA5">
        <w:rPr>
          <w:rFonts w:cs="Times New Roman"/>
        </w:rPr>
        <w:t xml:space="preserve">β0 + β1x). Multiplying both sides by (1 − p(x)) and solving for p(x) yields p(x) = </w:t>
      </w:r>
      <w:proofErr w:type="gramStart"/>
      <w:r w:rsidRPr="004C1EA5">
        <w:rPr>
          <w:rFonts w:cs="Times New Roman"/>
        </w:rPr>
        <w:t>exp(</w:t>
      </w:r>
      <w:proofErr w:type="gramEnd"/>
      <w:r w:rsidRPr="004C1EA5">
        <w:rPr>
          <w:rFonts w:cs="Times New Roman"/>
        </w:rPr>
        <w:t xml:space="preserve">β0 + β1x) / (1 + </w:t>
      </w:r>
      <w:proofErr w:type="gramStart"/>
      <w:r w:rsidRPr="004C1EA5">
        <w:rPr>
          <w:rFonts w:cs="Times New Roman"/>
        </w:rPr>
        <w:t>exp(</w:t>
      </w:r>
      <w:proofErr w:type="gramEnd"/>
      <w:r w:rsidRPr="004C1EA5">
        <w:rPr>
          <w:rFonts w:cs="Times New Roman"/>
        </w:rPr>
        <w:t>β0 + β1x)). This expression is the standard logistic response function, so the logit representation and the logistic function representation are mathematically equivalent ways to write the same model.</w:t>
      </w:r>
    </w:p>
    <w:p w14:paraId="147EB727" w14:textId="121F1F7F" w:rsidR="001F0380" w:rsidRPr="004C1EA5" w:rsidRDefault="00000000" w:rsidP="004C1EA5">
      <w:pPr>
        <w:pStyle w:val="Heading1"/>
        <w:spacing w:line="480" w:lineRule="auto"/>
        <w:jc w:val="center"/>
        <w:rPr>
          <w:rFonts w:ascii="Times New Roman" w:hAnsi="Times New Roman" w:cs="Times New Roman"/>
        </w:rPr>
      </w:pPr>
      <w:r w:rsidRPr="004C1EA5">
        <w:rPr>
          <w:rFonts w:ascii="Times New Roman" w:hAnsi="Times New Roman" w:cs="Times New Roman"/>
        </w:rPr>
        <w:t>Applied Question 13 (ISLP, p. 196–197)</w:t>
      </w:r>
    </w:p>
    <w:p w14:paraId="5C450BAA" w14:textId="77777777" w:rsidR="001F0380" w:rsidRPr="004C1EA5" w:rsidRDefault="00000000" w:rsidP="004C1EA5">
      <w:pPr>
        <w:pStyle w:val="Heading2"/>
        <w:spacing w:line="480" w:lineRule="auto"/>
        <w:rPr>
          <w:rFonts w:ascii="Times New Roman" w:hAnsi="Times New Roman" w:cs="Times New Roman"/>
        </w:rPr>
      </w:pPr>
      <w:r w:rsidRPr="004C1EA5">
        <w:rPr>
          <w:rFonts w:ascii="Times New Roman" w:hAnsi="Times New Roman" w:cs="Times New Roman"/>
        </w:rPr>
        <w:t>Part (a). Numerical and graphical summaries</w:t>
      </w:r>
    </w:p>
    <w:p w14:paraId="5FDD50F2" w14:textId="77777777" w:rsidR="001F0380" w:rsidRPr="004C1EA5" w:rsidRDefault="00000000" w:rsidP="004C1EA5">
      <w:pPr>
        <w:spacing w:line="480" w:lineRule="auto"/>
        <w:rPr>
          <w:rFonts w:cs="Times New Roman"/>
        </w:rPr>
      </w:pPr>
      <w:r w:rsidRPr="004C1EA5">
        <w:rPr>
          <w:rFonts w:cs="Times New Roman"/>
        </w:rPr>
        <w:t xml:space="preserve">The Weekly dataset contains 1,089 observations of weekly percentage returns for the market from 1990 through 2010, along with lagged returns Lag1 through Lag5, trading Volume, the current weekly return Today, the calendar Year, and a binary response Direction that indicates whether the market ended the week Up or Down. Numerical summaries and correlation matrices show a strong positive association between Year and Volume, indicating that trading volume increases over time. Correlations among the lagged returns and between the lags and </w:t>
      </w:r>
      <w:proofErr w:type="gramStart"/>
      <w:r w:rsidRPr="004C1EA5">
        <w:rPr>
          <w:rFonts w:cs="Times New Roman"/>
        </w:rPr>
        <w:t>Today</w:t>
      </w:r>
      <w:proofErr w:type="gramEnd"/>
      <w:r w:rsidRPr="004C1EA5">
        <w:rPr>
          <w:rFonts w:cs="Times New Roman"/>
        </w:rPr>
        <w:t xml:space="preserve"> are small in magnitude. Graphical summaries such as scatterplots and pair plots do not reveal clear visual separation of Up and Down weeks on any single lagged return, suggesting that market direction is difficult to classify based on a single predictor.</w:t>
      </w:r>
    </w:p>
    <w:p w14:paraId="48774C19" w14:textId="77777777" w:rsidR="001F0380" w:rsidRPr="004C1EA5" w:rsidRDefault="00000000" w:rsidP="004C1EA5">
      <w:pPr>
        <w:pStyle w:val="Heading2"/>
        <w:spacing w:line="480" w:lineRule="auto"/>
        <w:rPr>
          <w:rFonts w:ascii="Times New Roman" w:hAnsi="Times New Roman" w:cs="Times New Roman"/>
        </w:rPr>
      </w:pPr>
      <w:r w:rsidRPr="004C1EA5">
        <w:rPr>
          <w:rFonts w:ascii="Times New Roman" w:hAnsi="Times New Roman" w:cs="Times New Roman"/>
        </w:rPr>
        <w:lastRenderedPageBreak/>
        <w:t>Part (b). Logistic regression with lagged returns and Volume</w:t>
      </w:r>
    </w:p>
    <w:p w14:paraId="23AF4269" w14:textId="77777777" w:rsidR="001F0380" w:rsidRPr="004C1EA5" w:rsidRDefault="00000000" w:rsidP="004C1EA5">
      <w:pPr>
        <w:spacing w:line="480" w:lineRule="auto"/>
        <w:rPr>
          <w:rFonts w:cs="Times New Roman"/>
        </w:rPr>
      </w:pPr>
      <w:r w:rsidRPr="004C1EA5">
        <w:rPr>
          <w:rFonts w:cs="Times New Roman"/>
        </w:rPr>
        <w:t>A logistic regression model was fit on the full dataset using Direction as the response and Lag1 through Lag5 and Volume as predictors. The model estimates a log odds relationship between the probability that the market goes Up and the lagged returns. Summary output shows that Lag2 has a statistically significant coefficient at the 0.05 level, indicating that the return two weeks prior has a small but detectable relationship with the probability of an Up week. The remaining lagged returns and Volume do not show significant effects in the full model, which is consistent with the weak correlations observed during the exploratory analysis.</w:t>
      </w:r>
    </w:p>
    <w:p w14:paraId="15937C21" w14:textId="77777777" w:rsidR="001F0380" w:rsidRPr="004C1EA5" w:rsidRDefault="00000000" w:rsidP="004C1EA5">
      <w:pPr>
        <w:pStyle w:val="Heading2"/>
        <w:spacing w:line="480" w:lineRule="auto"/>
        <w:rPr>
          <w:rFonts w:ascii="Times New Roman" w:hAnsi="Times New Roman" w:cs="Times New Roman"/>
        </w:rPr>
      </w:pPr>
      <w:r w:rsidRPr="004C1EA5">
        <w:rPr>
          <w:rFonts w:ascii="Times New Roman" w:hAnsi="Times New Roman" w:cs="Times New Roman"/>
        </w:rPr>
        <w:t>Part (c). Confusion matrix and overall accuracy on the full sample</w:t>
      </w:r>
    </w:p>
    <w:p w14:paraId="560DCA7D" w14:textId="77777777" w:rsidR="001F0380" w:rsidRPr="004C1EA5" w:rsidRDefault="00000000" w:rsidP="004C1EA5">
      <w:pPr>
        <w:spacing w:line="480" w:lineRule="auto"/>
        <w:rPr>
          <w:rFonts w:cs="Times New Roman"/>
        </w:rPr>
      </w:pPr>
      <w:r w:rsidRPr="004C1EA5">
        <w:rPr>
          <w:rFonts w:cs="Times New Roman"/>
        </w:rPr>
        <w:t>Using a 0.5 probability threshold, class predictions were generated for each week in the full dataset. The confusion matrix compares predicted Direction values against the observed Up and Down weeks. The overall fraction of correct predictions is approximately 0.56. The matrix reveals that the model tends to predict Up weeks more often than Down weeks, leading to many Down weeks that are incorrectly classified as Up. This pattern indicates that the logistic model is more sensitive to Up movements and has limited ability to identify weeks where the market decreases.</w:t>
      </w:r>
    </w:p>
    <w:p w14:paraId="6A1E08B5" w14:textId="77777777" w:rsidR="001F0380" w:rsidRPr="004C1EA5" w:rsidRDefault="00000000" w:rsidP="004C1EA5">
      <w:pPr>
        <w:pStyle w:val="Heading2"/>
        <w:spacing w:line="480" w:lineRule="auto"/>
        <w:rPr>
          <w:rFonts w:ascii="Times New Roman" w:hAnsi="Times New Roman" w:cs="Times New Roman"/>
        </w:rPr>
      </w:pPr>
      <w:r w:rsidRPr="004C1EA5">
        <w:rPr>
          <w:rFonts w:ascii="Times New Roman" w:hAnsi="Times New Roman" w:cs="Times New Roman"/>
        </w:rPr>
        <w:t>Part (d). Logistic regression with Lag2 using a training and test split</w:t>
      </w:r>
    </w:p>
    <w:p w14:paraId="1D40E5CB" w14:textId="77777777" w:rsidR="001F0380" w:rsidRPr="004C1EA5" w:rsidRDefault="00000000" w:rsidP="004C1EA5">
      <w:pPr>
        <w:spacing w:line="480" w:lineRule="auto"/>
        <w:rPr>
          <w:rFonts w:cs="Times New Roman"/>
        </w:rPr>
      </w:pPr>
      <w:r w:rsidRPr="004C1EA5">
        <w:rPr>
          <w:rFonts w:cs="Times New Roman"/>
        </w:rPr>
        <w:t xml:space="preserve">To obtain a more realistic assessment of out-of-sample performance, the data were split into a training period from 1990 through 2008 and a test period consisting of the 2009 and 2010 observations. A simpler logistic regression model was then fit using only Lag2 as the predictor. On the training period, the model estimates the relationship between Lag2 and Direction. Predictions on the </w:t>
      </w:r>
      <w:proofErr w:type="gramStart"/>
      <w:r w:rsidRPr="004C1EA5">
        <w:rPr>
          <w:rFonts w:cs="Times New Roman"/>
        </w:rPr>
        <w:t>held-out</w:t>
      </w:r>
      <w:proofErr w:type="gramEnd"/>
      <w:r w:rsidRPr="004C1EA5">
        <w:rPr>
          <w:rFonts w:cs="Times New Roman"/>
        </w:rPr>
        <w:t xml:space="preserve"> 2009 and 2010 observations produce a </w:t>
      </w:r>
      <w:r w:rsidRPr="004C1EA5">
        <w:rPr>
          <w:rFonts w:cs="Times New Roman"/>
        </w:rPr>
        <w:lastRenderedPageBreak/>
        <w:t xml:space="preserve">test accuracy of about 0.625. The confusion matrix shows that the model correctly classifies </w:t>
      </w:r>
      <w:proofErr w:type="gramStart"/>
      <w:r w:rsidRPr="004C1EA5">
        <w:rPr>
          <w:rFonts w:cs="Times New Roman"/>
        </w:rPr>
        <w:t>a majority of</w:t>
      </w:r>
      <w:proofErr w:type="gramEnd"/>
      <w:r w:rsidRPr="004C1EA5">
        <w:rPr>
          <w:rFonts w:cs="Times New Roman"/>
        </w:rPr>
        <w:t xml:space="preserve"> Up weeks and performs better on Down weeks than the full model, although some Down weeks are still misclassified. This result demonstrates that reducing the model to the single most informative lag can improve generalization.</w:t>
      </w:r>
    </w:p>
    <w:p w14:paraId="5DBC4EA6" w14:textId="77777777" w:rsidR="001F0380" w:rsidRPr="004C1EA5" w:rsidRDefault="00000000" w:rsidP="004C1EA5">
      <w:pPr>
        <w:pStyle w:val="Heading2"/>
        <w:spacing w:line="480" w:lineRule="auto"/>
        <w:rPr>
          <w:rFonts w:ascii="Times New Roman" w:hAnsi="Times New Roman" w:cs="Times New Roman"/>
        </w:rPr>
      </w:pPr>
      <w:r w:rsidRPr="004C1EA5">
        <w:rPr>
          <w:rFonts w:ascii="Times New Roman" w:hAnsi="Times New Roman" w:cs="Times New Roman"/>
        </w:rPr>
        <w:t>Part (e). Linear Discriminant Analysis using Lag2</w:t>
      </w:r>
    </w:p>
    <w:p w14:paraId="1C220F19" w14:textId="77777777" w:rsidR="001F0380" w:rsidRPr="004C1EA5" w:rsidRDefault="00000000" w:rsidP="004C1EA5">
      <w:pPr>
        <w:spacing w:line="480" w:lineRule="auto"/>
        <w:rPr>
          <w:rFonts w:cs="Times New Roman"/>
        </w:rPr>
      </w:pPr>
      <w:r w:rsidRPr="004C1EA5">
        <w:rPr>
          <w:rFonts w:cs="Times New Roman"/>
        </w:rPr>
        <w:t>Linear Discriminant Analysis was applied to the same training and test split using Lag2 as the only predictor. LDA assumes that the predictors follow a multivariate normal distribution with class-specific means and a common covariance matrix. On the Weekly data, the LDA model produces nearly identical predictions to the Lag2 logistic regression model, with test accuracy also around 0.625. The confusion matrix structure mirrors the logistic model, correctly identifying many Up weeks while misclassifying some Down weeks. This similarity is expected because, under the LDA assumptions, logistic regression and LDA lead to very similar linear decision boundaries.</w:t>
      </w:r>
    </w:p>
    <w:p w14:paraId="61A9EEEC" w14:textId="77777777" w:rsidR="001F0380" w:rsidRPr="004C1EA5" w:rsidRDefault="00000000" w:rsidP="004C1EA5">
      <w:pPr>
        <w:pStyle w:val="Heading2"/>
        <w:spacing w:line="480" w:lineRule="auto"/>
        <w:rPr>
          <w:rFonts w:ascii="Times New Roman" w:hAnsi="Times New Roman" w:cs="Times New Roman"/>
        </w:rPr>
      </w:pPr>
      <w:r w:rsidRPr="004C1EA5">
        <w:rPr>
          <w:rFonts w:ascii="Times New Roman" w:hAnsi="Times New Roman" w:cs="Times New Roman"/>
        </w:rPr>
        <w:t>Part (f). Quadratic Discriminant Analysis using Lag2</w:t>
      </w:r>
    </w:p>
    <w:p w14:paraId="4F3FC074" w14:textId="77777777" w:rsidR="001F0380" w:rsidRPr="004C1EA5" w:rsidRDefault="00000000" w:rsidP="004C1EA5">
      <w:pPr>
        <w:spacing w:line="480" w:lineRule="auto"/>
        <w:rPr>
          <w:rFonts w:cs="Times New Roman"/>
        </w:rPr>
      </w:pPr>
      <w:r w:rsidRPr="004C1EA5">
        <w:rPr>
          <w:rFonts w:cs="Times New Roman"/>
        </w:rPr>
        <w:t>Quadratic Discriminant Analysis relaxes the equal covariance assumption of LDA and instead estimates a separate covariance matrix for each class. When QDA is fit to the Weekly data using Lag2 as the predictor, the test-set confusion matrix shows that the model predicts almost all weeks as Up. This behavior yields test accuracy below 0.60 and very poor detection of Down weeks. The lack of reliable quadratic structure in the single lag predictor, combined with limited training data relative to model complexity, likely contributes to the inferior performance of QDA in this setting.</w:t>
      </w:r>
    </w:p>
    <w:p w14:paraId="5BC7117C" w14:textId="77777777" w:rsidR="001F0380" w:rsidRPr="004C1EA5" w:rsidRDefault="00000000" w:rsidP="004C1EA5">
      <w:pPr>
        <w:pStyle w:val="Heading2"/>
        <w:spacing w:line="480" w:lineRule="auto"/>
        <w:rPr>
          <w:rFonts w:ascii="Times New Roman" w:hAnsi="Times New Roman" w:cs="Times New Roman"/>
        </w:rPr>
      </w:pPr>
      <w:r w:rsidRPr="004C1EA5">
        <w:rPr>
          <w:rFonts w:ascii="Times New Roman" w:hAnsi="Times New Roman" w:cs="Times New Roman"/>
        </w:rPr>
        <w:lastRenderedPageBreak/>
        <w:t>Part (g). K-nearest neighbors with K = 1</w:t>
      </w:r>
    </w:p>
    <w:p w14:paraId="7EF698BC" w14:textId="77777777" w:rsidR="001F0380" w:rsidRPr="004C1EA5" w:rsidRDefault="00000000" w:rsidP="004C1EA5">
      <w:pPr>
        <w:spacing w:line="480" w:lineRule="auto"/>
        <w:rPr>
          <w:rFonts w:cs="Times New Roman"/>
        </w:rPr>
      </w:pPr>
      <w:r w:rsidRPr="004C1EA5">
        <w:rPr>
          <w:rFonts w:cs="Times New Roman"/>
        </w:rPr>
        <w:t xml:space="preserve">A K-nearest </w:t>
      </w:r>
      <w:proofErr w:type="gramStart"/>
      <w:r w:rsidRPr="004C1EA5">
        <w:rPr>
          <w:rFonts w:cs="Times New Roman"/>
        </w:rPr>
        <w:t>neighbors</w:t>
      </w:r>
      <w:proofErr w:type="gramEnd"/>
      <w:r w:rsidRPr="004C1EA5">
        <w:rPr>
          <w:rFonts w:cs="Times New Roman"/>
        </w:rPr>
        <w:t xml:space="preserve"> classifier with K equal to 1 was fit using Lag2 to predict Direction. KNN K = 1 memorizes the training labels and predicts each test observation using the nearest training neighbor. On the Weekly test data, this model attains accuracy below 0.50, which is worse than all the linear methods considered. The confusion matrix shows that the model fluctuates between classes in a way that does not generalize well. This result illustrates that K = 1 is too flexible for this problem and overfits to noise in the training data. Additional experiments with larger values of K, such as K = 5 or K = 10, produce slightly more stable performance but still do not surpass the accuracy of logistic regression and LDA.</w:t>
      </w:r>
    </w:p>
    <w:p w14:paraId="554E6A91" w14:textId="77777777" w:rsidR="001F0380" w:rsidRPr="004C1EA5" w:rsidRDefault="00000000" w:rsidP="004C1EA5">
      <w:pPr>
        <w:pStyle w:val="Heading2"/>
        <w:spacing w:line="480" w:lineRule="auto"/>
        <w:rPr>
          <w:rFonts w:ascii="Times New Roman" w:hAnsi="Times New Roman" w:cs="Times New Roman"/>
        </w:rPr>
      </w:pPr>
      <w:r w:rsidRPr="004C1EA5">
        <w:rPr>
          <w:rFonts w:ascii="Times New Roman" w:hAnsi="Times New Roman" w:cs="Times New Roman"/>
        </w:rPr>
        <w:t>Part (h). Naive Bayes using Lag2</w:t>
      </w:r>
    </w:p>
    <w:p w14:paraId="3C5B29B2" w14:textId="77777777" w:rsidR="001F0380" w:rsidRPr="004C1EA5" w:rsidRDefault="00000000" w:rsidP="004C1EA5">
      <w:pPr>
        <w:spacing w:line="480" w:lineRule="auto"/>
        <w:rPr>
          <w:rFonts w:cs="Times New Roman"/>
        </w:rPr>
      </w:pPr>
      <w:r w:rsidRPr="004C1EA5">
        <w:rPr>
          <w:rFonts w:cs="Times New Roman"/>
        </w:rPr>
        <w:t>A Gaussian Naive Bayes classifier was also fit using Lag2 as the predictor. Naive Bayes models assume that the predictors are conditionally independent given the class label and follow a normal distribution for each class. With a single predictor, Naive Bayes behaves similarly to a parametric density estimator for the Lag2 distribution within each Direction class. On the Weekly test data, Naive Bayes attains accuracy in the high 0.50 range but still underperforms the Lag2 logistic and LDA models. The confusion matrix again reveals difficulty in correctly classifying Down weeks, which suggests that the class-conditional density assumptions do not align perfectly with the observed data.</w:t>
      </w:r>
    </w:p>
    <w:p w14:paraId="105B7685" w14:textId="77777777" w:rsidR="001F0380" w:rsidRPr="004C1EA5" w:rsidRDefault="00000000" w:rsidP="004C1EA5">
      <w:pPr>
        <w:pStyle w:val="Heading2"/>
        <w:spacing w:line="480" w:lineRule="auto"/>
        <w:rPr>
          <w:rFonts w:ascii="Times New Roman" w:hAnsi="Times New Roman" w:cs="Times New Roman"/>
        </w:rPr>
      </w:pPr>
      <w:r w:rsidRPr="004C1EA5">
        <w:rPr>
          <w:rFonts w:ascii="Times New Roman" w:hAnsi="Times New Roman" w:cs="Times New Roman"/>
        </w:rPr>
        <w:t>Part (i). Comparing methods</w:t>
      </w:r>
    </w:p>
    <w:p w14:paraId="1FDE9287" w14:textId="77777777" w:rsidR="001F0380" w:rsidRPr="004C1EA5" w:rsidRDefault="00000000" w:rsidP="004C1EA5">
      <w:pPr>
        <w:spacing w:line="480" w:lineRule="auto"/>
        <w:rPr>
          <w:rFonts w:cs="Times New Roman"/>
        </w:rPr>
      </w:pPr>
      <w:r w:rsidRPr="004C1EA5">
        <w:rPr>
          <w:rFonts w:cs="Times New Roman"/>
        </w:rPr>
        <w:t xml:space="preserve">Comparing test performance across all models fit on the 1990 through 2008 training period with evaluation on 2009 and 2010, the most effective methods are logistic regression with Lag2 only and LDA with Lag2 only. Both approaches reach test accuracy </w:t>
      </w:r>
      <w:r w:rsidRPr="004C1EA5">
        <w:rPr>
          <w:rFonts w:cs="Times New Roman"/>
        </w:rPr>
        <w:lastRenderedPageBreak/>
        <w:t>around 0.625 and provide a better balance between correctly classifying Up and Down weeks than the alternative methods. QDA, KNN with K = 1, and Naive Bayes all exhibit lower test accuracy and more skewed confusion matrices, often favoring Up predictions at the expense of detecting Down weeks. These results highlight that, for this dataset, simple linear methods using the most informative lag feature perform best on out-of-sample data.</w:t>
      </w:r>
    </w:p>
    <w:p w14:paraId="38A80016" w14:textId="77777777" w:rsidR="001F0380" w:rsidRPr="004C1EA5" w:rsidRDefault="00000000" w:rsidP="004C1EA5">
      <w:pPr>
        <w:pStyle w:val="Heading2"/>
        <w:spacing w:line="480" w:lineRule="auto"/>
        <w:rPr>
          <w:rFonts w:ascii="Times New Roman" w:hAnsi="Times New Roman" w:cs="Times New Roman"/>
        </w:rPr>
      </w:pPr>
      <w:r w:rsidRPr="004C1EA5">
        <w:rPr>
          <w:rFonts w:ascii="Times New Roman" w:hAnsi="Times New Roman" w:cs="Times New Roman"/>
        </w:rPr>
        <w:t>Part (j). Alternative predictor sets and final model choice</w:t>
      </w:r>
    </w:p>
    <w:p w14:paraId="20182AEE" w14:textId="77777777" w:rsidR="001F0380" w:rsidRPr="004C1EA5" w:rsidRDefault="00000000" w:rsidP="004C1EA5">
      <w:pPr>
        <w:spacing w:line="480" w:lineRule="auto"/>
        <w:rPr>
          <w:rFonts w:cs="Times New Roman"/>
        </w:rPr>
      </w:pPr>
      <w:r w:rsidRPr="004C1EA5">
        <w:rPr>
          <w:rFonts w:cs="Times New Roman"/>
        </w:rPr>
        <w:t>Additional models were explored using various combinations of predictors and transformations, including multiple lagged returns and interaction terms such as Lag1 multiplied by Lag2. These extended models were evaluated using the same 1990 through 2008 training period and 2009 through 2010 test period. Although some alternative models achieved similar performance, none produced a substantial improvement over the simple Lag2-only logistic and LDA models. In some cases, including more predictors reduced interpretability without improving test accuracy. Based on these findings, the preferred model for this dataset is logistic regression or LDA using Lag2 as the single predictor, as this specification provides the strongest, most stable out-of-sample performance while remaining easy to interpret.</w:t>
      </w:r>
    </w:p>
    <w:p w14:paraId="5A33A541" w14:textId="77777777" w:rsidR="001F0380" w:rsidRPr="004C1EA5" w:rsidRDefault="00000000" w:rsidP="004C1EA5">
      <w:pPr>
        <w:spacing w:line="480" w:lineRule="auto"/>
        <w:rPr>
          <w:rFonts w:cs="Times New Roman"/>
        </w:rPr>
      </w:pPr>
      <w:r w:rsidRPr="004C1EA5">
        <w:rPr>
          <w:rFonts w:cs="Times New Roman"/>
        </w:rPr>
        <w:br w:type="page"/>
      </w:r>
    </w:p>
    <w:p w14:paraId="0A57A2AE" w14:textId="77777777" w:rsidR="001F0380" w:rsidRPr="004C1EA5" w:rsidRDefault="00000000" w:rsidP="004C1EA5">
      <w:pPr>
        <w:pStyle w:val="Heading1"/>
        <w:spacing w:line="480" w:lineRule="auto"/>
        <w:jc w:val="center"/>
        <w:rPr>
          <w:rFonts w:ascii="Times New Roman" w:hAnsi="Times New Roman" w:cs="Times New Roman"/>
        </w:rPr>
      </w:pPr>
      <w:r w:rsidRPr="004C1EA5">
        <w:rPr>
          <w:rFonts w:ascii="Times New Roman" w:hAnsi="Times New Roman" w:cs="Times New Roman"/>
        </w:rPr>
        <w:lastRenderedPageBreak/>
        <w:t>Summary</w:t>
      </w:r>
    </w:p>
    <w:p w14:paraId="4682265D" w14:textId="77777777" w:rsidR="00482F0D" w:rsidRDefault="00482F0D" w:rsidP="00482F0D">
      <w:pPr>
        <w:spacing w:before="100" w:beforeAutospacing="1" w:after="100" w:afterAutospacing="1" w:line="480" w:lineRule="auto"/>
        <w:ind w:firstLine="720"/>
        <w:rPr>
          <w:rFonts w:eastAsia="Times New Roman" w:cs="Times New Roman"/>
          <w:szCs w:val="24"/>
        </w:rPr>
      </w:pPr>
      <w:r w:rsidRPr="00482F0D">
        <w:rPr>
          <w:rFonts w:eastAsia="Times New Roman" w:cs="Times New Roman"/>
          <w:szCs w:val="24"/>
        </w:rPr>
        <w:t xml:space="preserve">Obesity risk classification is a supervised multi-class clinical modeling task based on correlated anthropometric measurements and nominal behavioral and demographic predictors. The outcome variable, </w:t>
      </w:r>
      <w:proofErr w:type="spellStart"/>
      <w:r w:rsidRPr="00482F0D">
        <w:rPr>
          <w:rFonts w:eastAsia="Times New Roman" w:cs="Times New Roman"/>
          <w:szCs w:val="24"/>
        </w:rPr>
        <w:t>NObeyesdad</w:t>
      </w:r>
      <w:proofErr w:type="spellEnd"/>
      <w:r w:rsidRPr="00482F0D">
        <w:rPr>
          <w:rFonts w:eastAsia="Times New Roman" w:cs="Times New Roman"/>
          <w:szCs w:val="24"/>
        </w:rPr>
        <w:t>, contains seven mutually exclusive obesity risk severity levels, validating this as a nominal multi-class prediction problem rather than ordinal or binary classification (James et al., 2021).</w:t>
      </w:r>
    </w:p>
    <w:p w14:paraId="4F84F15F" w14:textId="77777777" w:rsidR="00482F0D" w:rsidRDefault="00482F0D" w:rsidP="00482F0D">
      <w:pPr>
        <w:spacing w:before="100" w:beforeAutospacing="1" w:after="100" w:afterAutospacing="1" w:line="480" w:lineRule="auto"/>
        <w:ind w:firstLine="720"/>
        <w:rPr>
          <w:rFonts w:eastAsia="Times New Roman" w:cs="Times New Roman"/>
          <w:szCs w:val="24"/>
        </w:rPr>
      </w:pPr>
      <w:r w:rsidRPr="00482F0D">
        <w:rPr>
          <w:rFonts w:eastAsia="Times New Roman" w:cs="Times New Roman"/>
          <w:szCs w:val="24"/>
        </w:rPr>
        <w:t xml:space="preserve">Foundational machine learning literature demonstrates that kernel-based margin classifiers reliably learn non-linear clinical decision surfaces when correlated biological predictors exhibit overlapping class structure that cannot be cleanly separated in linear feature space (Cortes &amp; </w:t>
      </w:r>
      <w:proofErr w:type="spellStart"/>
      <w:r w:rsidRPr="00482F0D">
        <w:rPr>
          <w:rFonts w:eastAsia="Times New Roman" w:cs="Times New Roman"/>
          <w:szCs w:val="24"/>
        </w:rPr>
        <w:t>Vapnik</w:t>
      </w:r>
      <w:proofErr w:type="spellEnd"/>
      <w:r w:rsidRPr="00482F0D">
        <w:rPr>
          <w:rFonts w:eastAsia="Times New Roman" w:cs="Times New Roman"/>
          <w:szCs w:val="24"/>
        </w:rPr>
        <w:t>, 1995). Applied predictive modeling research further reinforces that clinical classifiers must include structured preprocessing and diagnostic assumption evaluation when anthropometric measurements share covariance-linked signals that risk inflating parameter variance if not standardized appropriately (Kuhn &amp; Johnson, 2013; Zhao et al., 2022).</w:t>
      </w:r>
    </w:p>
    <w:p w14:paraId="4ECD02DE" w14:textId="77777777" w:rsidR="00482F0D" w:rsidRDefault="00482F0D" w:rsidP="00482F0D">
      <w:pPr>
        <w:spacing w:before="100" w:beforeAutospacing="1" w:after="100" w:afterAutospacing="1" w:line="480" w:lineRule="auto"/>
        <w:ind w:firstLine="720"/>
        <w:rPr>
          <w:rFonts w:eastAsia="Times New Roman" w:cs="Times New Roman"/>
          <w:szCs w:val="24"/>
        </w:rPr>
      </w:pPr>
      <w:r w:rsidRPr="00482F0D">
        <w:rPr>
          <w:rFonts w:eastAsia="Times New Roman" w:cs="Times New Roman"/>
          <w:szCs w:val="24"/>
        </w:rPr>
        <w:t>A preprocessing pipeline consistent with clinical modeling precedent was applied by standardizing continuous predictors including age-linked weight and height distributions to stabilize scale-sensitive margin learning, while nominal lifestyle and demographic predictors were encoded using one-hot transformation to preserve nominal meaning without imposing ordinal assumptions.</w:t>
      </w:r>
    </w:p>
    <w:p w14:paraId="089E7E9C" w14:textId="77777777" w:rsidR="00482F0D" w:rsidRDefault="00482F0D" w:rsidP="00482F0D">
      <w:pPr>
        <w:spacing w:before="100" w:beforeAutospacing="1" w:after="100" w:afterAutospacing="1" w:line="480" w:lineRule="auto"/>
        <w:ind w:firstLine="720"/>
        <w:rPr>
          <w:rFonts w:eastAsia="Times New Roman" w:cs="Times New Roman"/>
          <w:szCs w:val="24"/>
        </w:rPr>
      </w:pPr>
      <w:r w:rsidRPr="00482F0D">
        <w:rPr>
          <w:rFonts w:eastAsia="Times New Roman" w:cs="Times New Roman"/>
          <w:szCs w:val="24"/>
        </w:rPr>
        <w:t xml:space="preserve">Continuous anthropometric predictors were assessed for distributional validity using subsampled Q-Q plots (n = 5,000, </w:t>
      </w:r>
      <w:proofErr w:type="spellStart"/>
      <w:r w:rsidRPr="00482F0D">
        <w:rPr>
          <w:rFonts w:eastAsia="Times New Roman" w:cs="Times New Roman"/>
          <w:szCs w:val="24"/>
        </w:rPr>
        <w:t>random_state</w:t>
      </w:r>
      <w:proofErr w:type="spellEnd"/>
      <w:r w:rsidRPr="00482F0D">
        <w:rPr>
          <w:rFonts w:eastAsia="Times New Roman" w:cs="Times New Roman"/>
          <w:szCs w:val="24"/>
        </w:rPr>
        <w:t xml:space="preserve"> = 42). Decision margins and </w:t>
      </w:r>
      <w:r w:rsidRPr="00482F0D">
        <w:rPr>
          <w:rFonts w:eastAsia="Times New Roman" w:cs="Times New Roman"/>
          <w:szCs w:val="24"/>
        </w:rPr>
        <w:lastRenderedPageBreak/>
        <w:t xml:space="preserve">partition stability diagnostics visually demonstrated approximate conformity to theoretical normal quantiles, confirming parametric classifiers were not applied without verifying distribution compatibility. This aligns with established guidance that margin-maximizing and covariance-sensitive classifiers should be preceded by formal assumption investigation when biomedical predictors contain correlated overlap (Cortes &amp; </w:t>
      </w:r>
      <w:proofErr w:type="spellStart"/>
      <w:r w:rsidRPr="00482F0D">
        <w:rPr>
          <w:rFonts w:eastAsia="Times New Roman" w:cs="Times New Roman"/>
          <w:szCs w:val="24"/>
        </w:rPr>
        <w:t>Vapnik</w:t>
      </w:r>
      <w:proofErr w:type="spellEnd"/>
      <w:r w:rsidRPr="00482F0D">
        <w:rPr>
          <w:rFonts w:eastAsia="Times New Roman" w:cs="Times New Roman"/>
          <w:szCs w:val="24"/>
        </w:rPr>
        <w:t>, 1995; Kuhn &amp; Johnson, 2013; James et al., 2021).</w:t>
      </w:r>
    </w:p>
    <w:p w14:paraId="1524BEA3" w14:textId="77777777" w:rsidR="00482F0D" w:rsidRDefault="00482F0D" w:rsidP="00482F0D">
      <w:pPr>
        <w:spacing w:before="100" w:beforeAutospacing="1" w:after="100" w:afterAutospacing="1" w:line="480" w:lineRule="auto"/>
        <w:ind w:firstLine="720"/>
        <w:rPr>
          <w:rFonts w:eastAsia="Times New Roman" w:cs="Times New Roman"/>
          <w:szCs w:val="24"/>
        </w:rPr>
      </w:pPr>
      <w:r w:rsidRPr="00482F0D">
        <w:rPr>
          <w:rFonts w:eastAsia="Times New Roman" w:cs="Times New Roman"/>
          <w:szCs w:val="24"/>
        </w:rPr>
        <w:t xml:space="preserve">Benchmark classifier performance and holdout generalization accuracy were evaluated using five-fold stratified cross-validation and an 80/20 holdout split (seed = 42). The RBF-kernel Support Vector Machine achieved the highest mean cross-validated accuracy (~0.8788 ± 0.0058 </w:t>
      </w:r>
      <w:proofErr w:type="spellStart"/>
      <w:r w:rsidRPr="00482F0D">
        <w:rPr>
          <w:rFonts w:eastAsia="Times New Roman" w:cs="Times New Roman"/>
          <w:szCs w:val="24"/>
        </w:rPr>
        <w:t>sd</w:t>
      </w:r>
      <w:proofErr w:type="spellEnd"/>
      <w:r w:rsidRPr="00482F0D">
        <w:rPr>
          <w:rFonts w:eastAsia="Times New Roman" w:cs="Times New Roman"/>
          <w:szCs w:val="24"/>
        </w:rPr>
        <w:t xml:space="preserve">) and holdout accuracy (~0.8810), outperforming linear discriminative partitions (LDA ≈ 0.8207 holdout) and Gaussian density baselines (Gaussian NB ≈ 0.5860 holdout). This confirms superior non-linear partition learning durability and the most stable bias-variance generalization balance for nominal obesity severity strata (Wang et al., 2024; Zhao et al., 2022; Cortes &amp; </w:t>
      </w:r>
      <w:proofErr w:type="spellStart"/>
      <w:r w:rsidRPr="00482F0D">
        <w:rPr>
          <w:rFonts w:eastAsia="Times New Roman" w:cs="Times New Roman"/>
          <w:szCs w:val="24"/>
        </w:rPr>
        <w:t>Vapnik</w:t>
      </w:r>
      <w:proofErr w:type="spellEnd"/>
      <w:r w:rsidRPr="00482F0D">
        <w:rPr>
          <w:rFonts w:eastAsia="Times New Roman" w:cs="Times New Roman"/>
          <w:szCs w:val="24"/>
        </w:rPr>
        <w:t>, 1995; Kuhn &amp; Johnson, 2013).</w:t>
      </w:r>
    </w:p>
    <w:p w14:paraId="58758302" w14:textId="1BD35306" w:rsidR="00482F0D" w:rsidRDefault="00482F0D" w:rsidP="00482F0D">
      <w:pPr>
        <w:spacing w:before="100" w:beforeAutospacing="1" w:after="100" w:afterAutospacing="1" w:line="480" w:lineRule="auto"/>
        <w:ind w:firstLine="720"/>
        <w:rPr>
          <w:rFonts w:eastAsia="Times New Roman" w:cs="Times New Roman"/>
          <w:szCs w:val="24"/>
        </w:rPr>
      </w:pPr>
      <w:r w:rsidRPr="00482F0D">
        <w:rPr>
          <w:rFonts w:eastAsia="Times New Roman" w:cs="Times New Roman"/>
          <w:szCs w:val="24"/>
        </w:rPr>
        <w:t>Assumption diagnostics, accuracy benchmarking, and kernel boundary durability collectively justify selecting the RBF-kernel SVM model as the most reliable classifier for nominal obesity risk severity partition inference.</w:t>
      </w:r>
    </w:p>
    <w:p w14:paraId="3FBB13CF" w14:textId="64DEF54D" w:rsidR="009A61E9" w:rsidRPr="009A61E9" w:rsidRDefault="009A61E9" w:rsidP="00482F0D">
      <w:pPr>
        <w:spacing w:before="100" w:beforeAutospacing="1" w:after="100" w:afterAutospacing="1" w:line="240" w:lineRule="auto"/>
        <w:jc w:val="center"/>
        <w:rPr>
          <w:rFonts w:eastAsia="Times New Roman" w:cs="Times New Roman"/>
          <w:szCs w:val="24"/>
        </w:rPr>
      </w:pPr>
      <w:r w:rsidRPr="009A61E9">
        <w:rPr>
          <w:rFonts w:eastAsia="Times New Roman" w:cs="Times New Roman"/>
          <w:b/>
          <w:bCs/>
          <w:szCs w:val="24"/>
        </w:rPr>
        <w:t>Table 1</w:t>
      </w:r>
      <w:r w:rsidRPr="009A61E9">
        <w:rPr>
          <w:rFonts w:eastAsia="Times New Roman" w:cs="Times New Roman"/>
          <w:szCs w:val="24"/>
        </w:rPr>
        <w:br/>
      </w:r>
      <w:r w:rsidRPr="009A61E9">
        <w:rPr>
          <w:rFonts w:eastAsia="Times New Roman" w:cs="Times New Roman"/>
          <w:b/>
          <w:bCs/>
          <w:szCs w:val="24"/>
        </w:rPr>
        <w:t>Model Accuracy and Stability Comparison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9"/>
        <w:gridCol w:w="1700"/>
        <w:gridCol w:w="2087"/>
        <w:gridCol w:w="1969"/>
      </w:tblGrid>
      <w:tr w:rsidR="009A61E9" w:rsidRPr="009A61E9" w14:paraId="4EECF67A" w14:textId="77777777" w:rsidTr="009A61E9">
        <w:trPr>
          <w:tblHeader/>
          <w:tblCellSpacing w:w="15" w:type="dxa"/>
          <w:jc w:val="center"/>
        </w:trPr>
        <w:tc>
          <w:tcPr>
            <w:tcW w:w="0" w:type="auto"/>
            <w:vAlign w:val="center"/>
            <w:hideMark/>
          </w:tcPr>
          <w:p w14:paraId="06F3C0DF" w14:textId="77777777" w:rsidR="009A61E9" w:rsidRPr="009A61E9" w:rsidRDefault="009A61E9" w:rsidP="009A61E9">
            <w:pPr>
              <w:spacing w:after="0" w:line="240" w:lineRule="auto"/>
              <w:jc w:val="center"/>
              <w:rPr>
                <w:rFonts w:eastAsia="Times New Roman" w:cs="Times New Roman"/>
                <w:b/>
                <w:bCs/>
                <w:szCs w:val="24"/>
              </w:rPr>
            </w:pPr>
            <w:r w:rsidRPr="009A61E9">
              <w:rPr>
                <w:rFonts w:eastAsia="Times New Roman" w:cs="Times New Roman"/>
                <w:b/>
                <w:bCs/>
                <w:szCs w:val="24"/>
              </w:rPr>
              <w:t>Model</w:t>
            </w:r>
          </w:p>
        </w:tc>
        <w:tc>
          <w:tcPr>
            <w:tcW w:w="0" w:type="auto"/>
            <w:vAlign w:val="center"/>
            <w:hideMark/>
          </w:tcPr>
          <w:p w14:paraId="503AE83A" w14:textId="77777777" w:rsidR="009A61E9" w:rsidRPr="009A61E9" w:rsidRDefault="009A61E9" w:rsidP="009A61E9">
            <w:pPr>
              <w:spacing w:after="0" w:line="240" w:lineRule="auto"/>
              <w:jc w:val="center"/>
              <w:rPr>
                <w:rFonts w:eastAsia="Times New Roman" w:cs="Times New Roman"/>
                <w:b/>
                <w:bCs/>
                <w:szCs w:val="24"/>
              </w:rPr>
            </w:pPr>
            <w:r w:rsidRPr="009A61E9">
              <w:rPr>
                <w:rFonts w:eastAsia="Times New Roman" w:cs="Times New Roman"/>
                <w:b/>
                <w:bCs/>
                <w:szCs w:val="24"/>
              </w:rPr>
              <w:t>Mean Accuracy</w:t>
            </w:r>
          </w:p>
        </w:tc>
        <w:tc>
          <w:tcPr>
            <w:tcW w:w="0" w:type="auto"/>
            <w:vAlign w:val="center"/>
            <w:hideMark/>
          </w:tcPr>
          <w:p w14:paraId="7EEBE244" w14:textId="77777777" w:rsidR="009A61E9" w:rsidRPr="009A61E9" w:rsidRDefault="009A61E9" w:rsidP="009A61E9">
            <w:pPr>
              <w:spacing w:after="0" w:line="240" w:lineRule="auto"/>
              <w:jc w:val="center"/>
              <w:rPr>
                <w:rFonts w:eastAsia="Times New Roman" w:cs="Times New Roman"/>
                <w:b/>
                <w:bCs/>
                <w:szCs w:val="24"/>
              </w:rPr>
            </w:pPr>
            <w:r w:rsidRPr="009A61E9">
              <w:rPr>
                <w:rFonts w:eastAsia="Times New Roman" w:cs="Times New Roman"/>
                <w:b/>
                <w:bCs/>
                <w:szCs w:val="24"/>
              </w:rPr>
              <w:t>Standard Deviation</w:t>
            </w:r>
          </w:p>
        </w:tc>
        <w:tc>
          <w:tcPr>
            <w:tcW w:w="0" w:type="auto"/>
            <w:vAlign w:val="center"/>
            <w:hideMark/>
          </w:tcPr>
          <w:p w14:paraId="3A544BCE" w14:textId="77777777" w:rsidR="009A61E9" w:rsidRPr="009A61E9" w:rsidRDefault="009A61E9" w:rsidP="009A61E9">
            <w:pPr>
              <w:spacing w:after="0" w:line="240" w:lineRule="auto"/>
              <w:jc w:val="center"/>
              <w:rPr>
                <w:rFonts w:eastAsia="Times New Roman" w:cs="Times New Roman"/>
                <w:b/>
                <w:bCs/>
                <w:szCs w:val="24"/>
              </w:rPr>
            </w:pPr>
            <w:r w:rsidRPr="009A61E9">
              <w:rPr>
                <w:rFonts w:eastAsia="Times New Roman" w:cs="Times New Roman"/>
                <w:b/>
                <w:bCs/>
                <w:szCs w:val="24"/>
              </w:rPr>
              <w:t>Holdout Accuracy</w:t>
            </w:r>
          </w:p>
        </w:tc>
      </w:tr>
      <w:tr w:rsidR="009A61E9" w:rsidRPr="009A61E9" w14:paraId="2118878E" w14:textId="77777777" w:rsidTr="009A61E9">
        <w:trPr>
          <w:tblCellSpacing w:w="15" w:type="dxa"/>
          <w:jc w:val="center"/>
        </w:trPr>
        <w:tc>
          <w:tcPr>
            <w:tcW w:w="0" w:type="auto"/>
            <w:vAlign w:val="center"/>
            <w:hideMark/>
          </w:tcPr>
          <w:p w14:paraId="73B87B96" w14:textId="77777777" w:rsidR="009A61E9" w:rsidRPr="009A61E9" w:rsidRDefault="009A61E9" w:rsidP="009A61E9">
            <w:pPr>
              <w:spacing w:after="0" w:line="240" w:lineRule="auto"/>
              <w:jc w:val="center"/>
              <w:rPr>
                <w:rFonts w:eastAsia="Times New Roman" w:cs="Times New Roman"/>
                <w:szCs w:val="24"/>
              </w:rPr>
            </w:pPr>
            <w:r w:rsidRPr="009A61E9">
              <w:rPr>
                <w:rFonts w:eastAsia="Times New Roman" w:cs="Times New Roman"/>
                <w:szCs w:val="24"/>
              </w:rPr>
              <w:t>SVM–RBF</w:t>
            </w:r>
          </w:p>
        </w:tc>
        <w:tc>
          <w:tcPr>
            <w:tcW w:w="0" w:type="auto"/>
            <w:vAlign w:val="center"/>
            <w:hideMark/>
          </w:tcPr>
          <w:p w14:paraId="076A1E76" w14:textId="77777777" w:rsidR="009A61E9" w:rsidRPr="009A61E9" w:rsidRDefault="009A61E9" w:rsidP="009A61E9">
            <w:pPr>
              <w:spacing w:after="0" w:line="240" w:lineRule="auto"/>
              <w:jc w:val="center"/>
              <w:rPr>
                <w:rFonts w:eastAsia="Times New Roman" w:cs="Times New Roman"/>
                <w:szCs w:val="24"/>
              </w:rPr>
            </w:pPr>
            <w:r w:rsidRPr="009A61E9">
              <w:rPr>
                <w:rFonts w:eastAsia="Times New Roman" w:cs="Times New Roman"/>
                <w:szCs w:val="24"/>
              </w:rPr>
              <w:t>0.8788</w:t>
            </w:r>
          </w:p>
        </w:tc>
        <w:tc>
          <w:tcPr>
            <w:tcW w:w="0" w:type="auto"/>
            <w:vAlign w:val="center"/>
            <w:hideMark/>
          </w:tcPr>
          <w:p w14:paraId="0D1F36D0" w14:textId="77777777" w:rsidR="009A61E9" w:rsidRPr="009A61E9" w:rsidRDefault="009A61E9" w:rsidP="009A61E9">
            <w:pPr>
              <w:spacing w:after="0" w:line="240" w:lineRule="auto"/>
              <w:jc w:val="center"/>
              <w:rPr>
                <w:rFonts w:eastAsia="Times New Roman" w:cs="Times New Roman"/>
                <w:szCs w:val="24"/>
              </w:rPr>
            </w:pPr>
            <w:r w:rsidRPr="009A61E9">
              <w:rPr>
                <w:rFonts w:eastAsia="Times New Roman" w:cs="Times New Roman"/>
                <w:szCs w:val="24"/>
              </w:rPr>
              <w:t>0.0058</w:t>
            </w:r>
          </w:p>
        </w:tc>
        <w:tc>
          <w:tcPr>
            <w:tcW w:w="0" w:type="auto"/>
            <w:vAlign w:val="center"/>
            <w:hideMark/>
          </w:tcPr>
          <w:p w14:paraId="018687E8" w14:textId="77777777" w:rsidR="009A61E9" w:rsidRPr="009A61E9" w:rsidRDefault="009A61E9" w:rsidP="009A61E9">
            <w:pPr>
              <w:spacing w:after="0" w:line="240" w:lineRule="auto"/>
              <w:jc w:val="center"/>
              <w:rPr>
                <w:rFonts w:eastAsia="Times New Roman" w:cs="Times New Roman"/>
                <w:szCs w:val="24"/>
              </w:rPr>
            </w:pPr>
            <w:r w:rsidRPr="009A61E9">
              <w:rPr>
                <w:rFonts w:eastAsia="Times New Roman" w:cs="Times New Roman"/>
                <w:szCs w:val="24"/>
              </w:rPr>
              <w:t>0.8810</w:t>
            </w:r>
          </w:p>
        </w:tc>
      </w:tr>
      <w:tr w:rsidR="009A61E9" w:rsidRPr="009A61E9" w14:paraId="2DE580B1" w14:textId="77777777" w:rsidTr="009A61E9">
        <w:trPr>
          <w:tblCellSpacing w:w="15" w:type="dxa"/>
          <w:jc w:val="center"/>
        </w:trPr>
        <w:tc>
          <w:tcPr>
            <w:tcW w:w="0" w:type="auto"/>
            <w:vAlign w:val="center"/>
            <w:hideMark/>
          </w:tcPr>
          <w:p w14:paraId="451515DF" w14:textId="77777777" w:rsidR="009A61E9" w:rsidRPr="009A61E9" w:rsidRDefault="009A61E9" w:rsidP="009A61E9">
            <w:pPr>
              <w:spacing w:after="0" w:line="240" w:lineRule="auto"/>
              <w:jc w:val="center"/>
              <w:rPr>
                <w:rFonts w:eastAsia="Times New Roman" w:cs="Times New Roman"/>
                <w:szCs w:val="24"/>
              </w:rPr>
            </w:pPr>
            <w:r w:rsidRPr="009A61E9">
              <w:rPr>
                <w:rFonts w:eastAsia="Times New Roman" w:cs="Times New Roman"/>
                <w:szCs w:val="24"/>
              </w:rPr>
              <w:t>Logistic–L2</w:t>
            </w:r>
          </w:p>
        </w:tc>
        <w:tc>
          <w:tcPr>
            <w:tcW w:w="0" w:type="auto"/>
            <w:vAlign w:val="center"/>
            <w:hideMark/>
          </w:tcPr>
          <w:p w14:paraId="54F4F5B2" w14:textId="77777777" w:rsidR="009A61E9" w:rsidRPr="009A61E9" w:rsidRDefault="009A61E9" w:rsidP="009A61E9">
            <w:pPr>
              <w:spacing w:after="0" w:line="240" w:lineRule="auto"/>
              <w:jc w:val="center"/>
              <w:rPr>
                <w:rFonts w:eastAsia="Times New Roman" w:cs="Times New Roman"/>
                <w:szCs w:val="24"/>
              </w:rPr>
            </w:pPr>
            <w:r w:rsidRPr="009A61E9">
              <w:rPr>
                <w:rFonts w:eastAsia="Times New Roman" w:cs="Times New Roman"/>
                <w:szCs w:val="24"/>
              </w:rPr>
              <w:t>0.8620</w:t>
            </w:r>
          </w:p>
        </w:tc>
        <w:tc>
          <w:tcPr>
            <w:tcW w:w="0" w:type="auto"/>
            <w:vAlign w:val="center"/>
            <w:hideMark/>
          </w:tcPr>
          <w:p w14:paraId="5482A28D" w14:textId="77777777" w:rsidR="009A61E9" w:rsidRPr="009A61E9" w:rsidRDefault="009A61E9" w:rsidP="009A61E9">
            <w:pPr>
              <w:spacing w:after="0" w:line="240" w:lineRule="auto"/>
              <w:jc w:val="center"/>
              <w:rPr>
                <w:rFonts w:eastAsia="Times New Roman" w:cs="Times New Roman"/>
                <w:szCs w:val="24"/>
              </w:rPr>
            </w:pPr>
            <w:r w:rsidRPr="009A61E9">
              <w:rPr>
                <w:rFonts w:eastAsia="Times New Roman" w:cs="Times New Roman"/>
                <w:szCs w:val="24"/>
              </w:rPr>
              <w:t>0.0046</w:t>
            </w:r>
          </w:p>
        </w:tc>
        <w:tc>
          <w:tcPr>
            <w:tcW w:w="0" w:type="auto"/>
            <w:vAlign w:val="center"/>
            <w:hideMark/>
          </w:tcPr>
          <w:p w14:paraId="32A2E2DA" w14:textId="77777777" w:rsidR="009A61E9" w:rsidRPr="009A61E9" w:rsidRDefault="009A61E9" w:rsidP="009A61E9">
            <w:pPr>
              <w:spacing w:after="0" w:line="240" w:lineRule="auto"/>
              <w:jc w:val="center"/>
              <w:rPr>
                <w:rFonts w:eastAsia="Times New Roman" w:cs="Times New Roman"/>
                <w:szCs w:val="24"/>
              </w:rPr>
            </w:pPr>
            <w:r w:rsidRPr="009A61E9">
              <w:rPr>
                <w:rFonts w:eastAsia="Times New Roman" w:cs="Times New Roman"/>
                <w:szCs w:val="24"/>
              </w:rPr>
              <w:t>0.8683</w:t>
            </w:r>
          </w:p>
        </w:tc>
      </w:tr>
      <w:tr w:rsidR="009A61E9" w:rsidRPr="009A61E9" w14:paraId="5310F33A" w14:textId="77777777" w:rsidTr="009A61E9">
        <w:trPr>
          <w:tblCellSpacing w:w="15" w:type="dxa"/>
          <w:jc w:val="center"/>
        </w:trPr>
        <w:tc>
          <w:tcPr>
            <w:tcW w:w="0" w:type="auto"/>
            <w:vAlign w:val="center"/>
            <w:hideMark/>
          </w:tcPr>
          <w:p w14:paraId="5886C251" w14:textId="77777777" w:rsidR="009A61E9" w:rsidRPr="009A61E9" w:rsidRDefault="009A61E9" w:rsidP="009A61E9">
            <w:pPr>
              <w:spacing w:after="0" w:line="240" w:lineRule="auto"/>
              <w:jc w:val="center"/>
              <w:rPr>
                <w:rFonts w:eastAsia="Times New Roman" w:cs="Times New Roman"/>
                <w:szCs w:val="24"/>
              </w:rPr>
            </w:pPr>
            <w:r w:rsidRPr="009A61E9">
              <w:rPr>
                <w:rFonts w:eastAsia="Times New Roman" w:cs="Times New Roman"/>
                <w:szCs w:val="24"/>
              </w:rPr>
              <w:lastRenderedPageBreak/>
              <w:t>LDA</w:t>
            </w:r>
          </w:p>
        </w:tc>
        <w:tc>
          <w:tcPr>
            <w:tcW w:w="0" w:type="auto"/>
            <w:vAlign w:val="center"/>
            <w:hideMark/>
          </w:tcPr>
          <w:p w14:paraId="44D98A39" w14:textId="77777777" w:rsidR="009A61E9" w:rsidRPr="009A61E9" w:rsidRDefault="009A61E9" w:rsidP="009A61E9">
            <w:pPr>
              <w:spacing w:after="0" w:line="240" w:lineRule="auto"/>
              <w:jc w:val="center"/>
              <w:rPr>
                <w:rFonts w:eastAsia="Times New Roman" w:cs="Times New Roman"/>
                <w:szCs w:val="24"/>
              </w:rPr>
            </w:pPr>
            <w:r w:rsidRPr="009A61E9">
              <w:rPr>
                <w:rFonts w:eastAsia="Times New Roman" w:cs="Times New Roman"/>
                <w:szCs w:val="24"/>
              </w:rPr>
              <w:t>0.8207</w:t>
            </w:r>
          </w:p>
        </w:tc>
        <w:tc>
          <w:tcPr>
            <w:tcW w:w="0" w:type="auto"/>
            <w:vAlign w:val="center"/>
            <w:hideMark/>
          </w:tcPr>
          <w:p w14:paraId="68987CA7" w14:textId="77777777" w:rsidR="009A61E9" w:rsidRPr="009A61E9" w:rsidRDefault="009A61E9" w:rsidP="009A61E9">
            <w:pPr>
              <w:spacing w:after="0" w:line="240" w:lineRule="auto"/>
              <w:jc w:val="center"/>
              <w:rPr>
                <w:rFonts w:eastAsia="Times New Roman" w:cs="Times New Roman"/>
                <w:szCs w:val="24"/>
              </w:rPr>
            </w:pPr>
            <w:r w:rsidRPr="009A61E9">
              <w:rPr>
                <w:rFonts w:eastAsia="Times New Roman" w:cs="Times New Roman"/>
                <w:szCs w:val="24"/>
              </w:rPr>
              <w:t>0.0032</w:t>
            </w:r>
          </w:p>
        </w:tc>
        <w:tc>
          <w:tcPr>
            <w:tcW w:w="0" w:type="auto"/>
            <w:vAlign w:val="center"/>
            <w:hideMark/>
          </w:tcPr>
          <w:p w14:paraId="3CF30B9A" w14:textId="77777777" w:rsidR="009A61E9" w:rsidRPr="009A61E9" w:rsidRDefault="009A61E9" w:rsidP="009A61E9">
            <w:pPr>
              <w:spacing w:after="0" w:line="240" w:lineRule="auto"/>
              <w:jc w:val="center"/>
              <w:rPr>
                <w:rFonts w:eastAsia="Times New Roman" w:cs="Times New Roman"/>
                <w:szCs w:val="24"/>
              </w:rPr>
            </w:pPr>
            <w:r w:rsidRPr="009A61E9">
              <w:rPr>
                <w:rFonts w:eastAsia="Times New Roman" w:cs="Times New Roman"/>
                <w:szCs w:val="24"/>
              </w:rPr>
              <w:t>0.8230</w:t>
            </w:r>
          </w:p>
        </w:tc>
      </w:tr>
      <w:tr w:rsidR="009A61E9" w:rsidRPr="009A61E9" w14:paraId="7DE3410A" w14:textId="77777777" w:rsidTr="009A61E9">
        <w:trPr>
          <w:tblCellSpacing w:w="15" w:type="dxa"/>
          <w:jc w:val="center"/>
        </w:trPr>
        <w:tc>
          <w:tcPr>
            <w:tcW w:w="0" w:type="auto"/>
            <w:vAlign w:val="center"/>
            <w:hideMark/>
          </w:tcPr>
          <w:p w14:paraId="4C4FE192" w14:textId="77777777" w:rsidR="009A61E9" w:rsidRPr="009A61E9" w:rsidRDefault="009A61E9" w:rsidP="009A61E9">
            <w:pPr>
              <w:spacing w:after="0" w:line="240" w:lineRule="auto"/>
              <w:jc w:val="center"/>
              <w:rPr>
                <w:rFonts w:eastAsia="Times New Roman" w:cs="Times New Roman"/>
                <w:szCs w:val="24"/>
              </w:rPr>
            </w:pPr>
            <w:r w:rsidRPr="009A61E9">
              <w:rPr>
                <w:rFonts w:eastAsia="Times New Roman" w:cs="Times New Roman"/>
                <w:szCs w:val="24"/>
              </w:rPr>
              <w:t>Gaussian NB</w:t>
            </w:r>
          </w:p>
        </w:tc>
        <w:tc>
          <w:tcPr>
            <w:tcW w:w="0" w:type="auto"/>
            <w:vAlign w:val="center"/>
            <w:hideMark/>
          </w:tcPr>
          <w:p w14:paraId="2F8D6E4A" w14:textId="77777777" w:rsidR="009A61E9" w:rsidRPr="009A61E9" w:rsidRDefault="009A61E9" w:rsidP="009A61E9">
            <w:pPr>
              <w:spacing w:after="0" w:line="240" w:lineRule="auto"/>
              <w:jc w:val="center"/>
              <w:rPr>
                <w:rFonts w:eastAsia="Times New Roman" w:cs="Times New Roman"/>
                <w:szCs w:val="24"/>
              </w:rPr>
            </w:pPr>
            <w:r w:rsidRPr="009A61E9">
              <w:rPr>
                <w:rFonts w:eastAsia="Times New Roman" w:cs="Times New Roman"/>
                <w:szCs w:val="24"/>
              </w:rPr>
              <w:t>0.5874</w:t>
            </w:r>
          </w:p>
        </w:tc>
        <w:tc>
          <w:tcPr>
            <w:tcW w:w="0" w:type="auto"/>
            <w:vAlign w:val="center"/>
            <w:hideMark/>
          </w:tcPr>
          <w:p w14:paraId="5FCCD4F6" w14:textId="77777777" w:rsidR="009A61E9" w:rsidRPr="009A61E9" w:rsidRDefault="009A61E9" w:rsidP="009A61E9">
            <w:pPr>
              <w:spacing w:after="0" w:line="240" w:lineRule="auto"/>
              <w:jc w:val="center"/>
              <w:rPr>
                <w:rFonts w:eastAsia="Times New Roman" w:cs="Times New Roman"/>
                <w:szCs w:val="24"/>
              </w:rPr>
            </w:pPr>
            <w:r w:rsidRPr="009A61E9">
              <w:rPr>
                <w:rFonts w:eastAsia="Times New Roman" w:cs="Times New Roman"/>
                <w:szCs w:val="24"/>
              </w:rPr>
              <w:t>0.0053</w:t>
            </w:r>
          </w:p>
        </w:tc>
        <w:tc>
          <w:tcPr>
            <w:tcW w:w="0" w:type="auto"/>
            <w:vAlign w:val="center"/>
            <w:hideMark/>
          </w:tcPr>
          <w:p w14:paraId="5012D787" w14:textId="77777777" w:rsidR="009A61E9" w:rsidRPr="009A61E9" w:rsidRDefault="009A61E9" w:rsidP="009A61E9">
            <w:pPr>
              <w:spacing w:after="0" w:line="240" w:lineRule="auto"/>
              <w:jc w:val="center"/>
              <w:rPr>
                <w:rFonts w:eastAsia="Times New Roman" w:cs="Times New Roman"/>
                <w:szCs w:val="24"/>
              </w:rPr>
            </w:pPr>
            <w:r w:rsidRPr="009A61E9">
              <w:rPr>
                <w:rFonts w:eastAsia="Times New Roman" w:cs="Times New Roman"/>
                <w:szCs w:val="24"/>
              </w:rPr>
              <w:t>0.5860</w:t>
            </w:r>
          </w:p>
        </w:tc>
      </w:tr>
    </w:tbl>
    <w:p w14:paraId="12430529" w14:textId="5F1DD6F2" w:rsidR="009A61E9" w:rsidRPr="009A61E9" w:rsidRDefault="009A61E9" w:rsidP="009A61E9">
      <w:pPr>
        <w:spacing w:after="0" w:line="240" w:lineRule="auto"/>
        <w:rPr>
          <w:rFonts w:eastAsia="Times New Roman" w:cs="Times New Roman"/>
          <w:szCs w:val="24"/>
        </w:rPr>
      </w:pPr>
    </w:p>
    <w:p w14:paraId="3029B85B" w14:textId="4A169749" w:rsidR="009A61E9" w:rsidRPr="009A61E9" w:rsidRDefault="009A61E9" w:rsidP="009A61E9">
      <w:pPr>
        <w:spacing w:before="100" w:beforeAutospacing="1" w:after="100" w:afterAutospacing="1" w:line="240" w:lineRule="auto"/>
        <w:rPr>
          <w:rFonts w:eastAsia="Times New Roman" w:cs="Times New Roman"/>
          <w:szCs w:val="24"/>
        </w:rPr>
      </w:pPr>
      <w:r w:rsidRPr="009A61E9">
        <w:rPr>
          <w:rFonts w:eastAsia="Times New Roman" w:cs="Times New Roman"/>
          <w:b/>
          <w:bCs/>
          <w:szCs w:val="24"/>
        </w:rPr>
        <w:t>Note.</w:t>
      </w:r>
      <w:r w:rsidRPr="009A61E9">
        <w:rPr>
          <w:rFonts w:eastAsia="Times New Roman" w:cs="Times New Roman"/>
          <w:szCs w:val="24"/>
        </w:rPr>
        <w:t xml:space="preserve"> Accuracy estimates are derived from stratified 5-fold cross-validation (shuffle = True, </w:t>
      </w:r>
      <w:proofErr w:type="spellStart"/>
      <w:r w:rsidRPr="009A61E9">
        <w:rPr>
          <w:rFonts w:eastAsia="Times New Roman" w:cs="Times New Roman"/>
          <w:szCs w:val="24"/>
        </w:rPr>
        <w:t>random_state</w:t>
      </w:r>
      <w:proofErr w:type="spellEnd"/>
      <w:r w:rsidRPr="009A61E9">
        <w:rPr>
          <w:rFonts w:eastAsia="Times New Roman" w:cs="Times New Roman"/>
          <w:szCs w:val="24"/>
        </w:rPr>
        <w:t xml:space="preserve"> = 42) and an 80/20 holdout evaluation. Foundational kernel margin theory supports the use of SVM-RBF for overlapping correlated biological partitions (Cortes &amp; </w:t>
      </w:r>
      <w:proofErr w:type="spellStart"/>
      <w:r w:rsidRPr="009A61E9">
        <w:rPr>
          <w:rFonts w:eastAsia="Times New Roman" w:cs="Times New Roman"/>
          <w:szCs w:val="24"/>
        </w:rPr>
        <w:t>Vapnik</w:t>
      </w:r>
      <w:proofErr w:type="spellEnd"/>
      <w:r w:rsidRPr="009A61E9">
        <w:rPr>
          <w:rFonts w:eastAsia="Times New Roman" w:cs="Times New Roman"/>
          <w:szCs w:val="24"/>
        </w:rPr>
        <w:t>, 1995; Kuhn &amp; Johnson, 2013</w:t>
      </w:r>
      <w:r w:rsidR="00DA00CF">
        <w:rPr>
          <w:rFonts w:eastAsia="Times New Roman" w:cs="Times New Roman"/>
          <w:szCs w:val="24"/>
        </w:rPr>
        <w:t>)</w:t>
      </w:r>
      <w:r w:rsidRPr="009A61E9">
        <w:rPr>
          <w:rFonts w:eastAsia="Times New Roman" w:cs="Times New Roman"/>
          <w:szCs w:val="24"/>
        </w:rPr>
        <w:t>.</w:t>
      </w:r>
    </w:p>
    <w:p w14:paraId="4C0CCF42" w14:textId="2E6A2B58" w:rsidR="009A61E9" w:rsidRPr="009A61E9" w:rsidRDefault="009A61E9" w:rsidP="009A61E9"/>
    <w:p w14:paraId="01A3E2B4" w14:textId="19BC920B" w:rsidR="00BB08B5" w:rsidRDefault="00BB08B5" w:rsidP="009A61E9">
      <w:pPr>
        <w:pStyle w:val="Heading1"/>
        <w:spacing w:line="480" w:lineRule="auto"/>
        <w:jc w:val="center"/>
        <w:rPr>
          <w:rFonts w:ascii="Times New Roman" w:hAnsi="Times New Roman" w:cs="Times New Roman"/>
        </w:rPr>
      </w:pPr>
      <w:r>
        <w:rPr>
          <w:rFonts w:ascii="Times New Roman" w:hAnsi="Times New Roman" w:cs="Times New Roman"/>
        </w:rPr>
        <w:t>Kaggle Submission</w:t>
      </w:r>
    </w:p>
    <w:p w14:paraId="4570BC46" w14:textId="76303DF5" w:rsidR="00465231" w:rsidRPr="00465231" w:rsidRDefault="00465231" w:rsidP="00465231">
      <w:r w:rsidRPr="00465231">
        <w:rPr>
          <w:noProof/>
        </w:rPr>
        <w:drawing>
          <wp:inline distT="0" distB="0" distL="0" distR="0" wp14:anchorId="33C5E35B" wp14:editId="1FEE30B5">
            <wp:extent cx="5486400" cy="2188210"/>
            <wp:effectExtent l="0" t="0" r="0" b="0"/>
            <wp:docPr id="1977414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1451" name="Picture 1" descr="A screenshot of a computer&#10;&#10;AI-generated content may be incorrect."/>
                    <pic:cNvPicPr/>
                  </pic:nvPicPr>
                  <pic:blipFill>
                    <a:blip r:embed="rId6"/>
                    <a:stretch>
                      <a:fillRect/>
                    </a:stretch>
                  </pic:blipFill>
                  <pic:spPr>
                    <a:xfrm>
                      <a:off x="0" y="0"/>
                      <a:ext cx="5486400" cy="2188210"/>
                    </a:xfrm>
                    <a:prstGeom prst="rect">
                      <a:avLst/>
                    </a:prstGeom>
                  </pic:spPr>
                </pic:pic>
              </a:graphicData>
            </a:graphic>
          </wp:inline>
        </w:drawing>
      </w:r>
    </w:p>
    <w:p w14:paraId="4B0D2DCE" w14:textId="3962FDB6" w:rsidR="00BB08B5" w:rsidRDefault="00BB08B5" w:rsidP="00465231">
      <w:pPr>
        <w:pStyle w:val="Heading1"/>
        <w:spacing w:line="480" w:lineRule="auto"/>
        <w:jc w:val="center"/>
        <w:rPr>
          <w:rFonts w:ascii="Times New Roman" w:hAnsi="Times New Roman" w:cs="Times New Roman"/>
        </w:rPr>
      </w:pPr>
      <w:proofErr w:type="spellStart"/>
      <w:r>
        <w:rPr>
          <w:rFonts w:ascii="Times New Roman" w:hAnsi="Times New Roman" w:cs="Times New Roman"/>
        </w:rPr>
        <w:t>Github</w:t>
      </w:r>
      <w:proofErr w:type="spellEnd"/>
      <w:r>
        <w:rPr>
          <w:rFonts w:ascii="Times New Roman" w:hAnsi="Times New Roman" w:cs="Times New Roman"/>
        </w:rPr>
        <w:t xml:space="preserve"> Link</w:t>
      </w:r>
    </w:p>
    <w:p w14:paraId="67FB758D" w14:textId="5A5BB822" w:rsidR="00465231" w:rsidRDefault="00465231" w:rsidP="00465231">
      <w:pPr>
        <w:spacing w:line="480" w:lineRule="auto"/>
        <w:jc w:val="center"/>
      </w:pPr>
      <w:hyperlink r:id="rId7" w:history="1">
        <w:r w:rsidRPr="00564735">
          <w:rPr>
            <w:rStyle w:val="Hyperlink"/>
          </w:rPr>
          <w:t>https://github.com/alburybloom/DDS8555-5</w:t>
        </w:r>
      </w:hyperlink>
    </w:p>
    <w:p w14:paraId="50ABFEB7" w14:textId="77777777" w:rsidR="00465231" w:rsidRPr="00465231" w:rsidRDefault="00465231" w:rsidP="00465231">
      <w:pPr>
        <w:spacing w:line="480" w:lineRule="auto"/>
      </w:pPr>
    </w:p>
    <w:p w14:paraId="566F2CD5" w14:textId="77777777" w:rsidR="001F0380" w:rsidRPr="004C1EA5" w:rsidRDefault="00000000" w:rsidP="004C1EA5">
      <w:pPr>
        <w:spacing w:line="480" w:lineRule="auto"/>
        <w:rPr>
          <w:rFonts w:cs="Times New Roman"/>
        </w:rPr>
      </w:pPr>
      <w:r w:rsidRPr="004C1EA5">
        <w:rPr>
          <w:rFonts w:cs="Times New Roman"/>
        </w:rPr>
        <w:br w:type="page"/>
      </w:r>
    </w:p>
    <w:p w14:paraId="0217D48E" w14:textId="77777777" w:rsidR="001F0380" w:rsidRPr="004C1EA5" w:rsidRDefault="00000000" w:rsidP="004C1EA5">
      <w:pPr>
        <w:pStyle w:val="Heading1"/>
        <w:spacing w:line="480" w:lineRule="auto"/>
        <w:jc w:val="center"/>
        <w:rPr>
          <w:rFonts w:ascii="Times New Roman" w:hAnsi="Times New Roman" w:cs="Times New Roman"/>
        </w:rPr>
      </w:pPr>
      <w:r w:rsidRPr="004C1EA5">
        <w:rPr>
          <w:rFonts w:ascii="Times New Roman" w:hAnsi="Times New Roman" w:cs="Times New Roman"/>
        </w:rPr>
        <w:lastRenderedPageBreak/>
        <w:t>References</w:t>
      </w:r>
    </w:p>
    <w:p w14:paraId="0855210C" w14:textId="77777777" w:rsidR="0083626F" w:rsidRDefault="0083626F" w:rsidP="0083626F">
      <w:pPr>
        <w:pStyle w:val="NormalWeb"/>
        <w:spacing w:line="480" w:lineRule="auto"/>
        <w:ind w:left="720" w:hanging="720"/>
      </w:pPr>
      <w:r>
        <w:t xml:space="preserve">Cortes, C., &amp; </w:t>
      </w:r>
      <w:proofErr w:type="spellStart"/>
      <w:r>
        <w:t>Vapnik</w:t>
      </w:r>
      <w:proofErr w:type="spellEnd"/>
      <w:r>
        <w:t xml:space="preserve">, V. (1995). </w:t>
      </w:r>
      <w:r>
        <w:rPr>
          <w:rStyle w:val="Emphasis"/>
        </w:rPr>
        <w:t>Support-vector networks</w:t>
      </w:r>
      <w:r>
        <w:t xml:space="preserve">. </w:t>
      </w:r>
      <w:r>
        <w:rPr>
          <w:rStyle w:val="Emphasis"/>
        </w:rPr>
        <w:t>Machine Learning, 20</w:t>
      </w:r>
      <w:r>
        <w:t>, 273–297.</w:t>
      </w:r>
    </w:p>
    <w:p w14:paraId="44E18634" w14:textId="0A348E06" w:rsidR="0083626F" w:rsidRDefault="0083626F" w:rsidP="00482F0D">
      <w:pPr>
        <w:pStyle w:val="NormalWeb"/>
        <w:spacing w:line="480" w:lineRule="auto"/>
        <w:ind w:left="720" w:hanging="720"/>
      </w:pPr>
      <w:r>
        <w:t xml:space="preserve">James, G., Witten, D., Hastie, T., &amp; </w:t>
      </w:r>
      <w:proofErr w:type="spellStart"/>
      <w:r>
        <w:t>Tibshirani</w:t>
      </w:r>
      <w:proofErr w:type="spellEnd"/>
      <w:r>
        <w:t xml:space="preserve">, R. (2021). </w:t>
      </w:r>
      <w:r>
        <w:rPr>
          <w:rStyle w:val="Emphasis"/>
        </w:rPr>
        <w:t>An introduction to statistical learning with applications in Python</w:t>
      </w:r>
      <w:r>
        <w:t>. Springer.</w:t>
      </w:r>
      <w:r w:rsidR="009A61E9" w:rsidRPr="009A61E9">
        <w:t xml:space="preserve"> </w:t>
      </w:r>
    </w:p>
    <w:p w14:paraId="1AE63F40" w14:textId="77777777" w:rsidR="0083626F" w:rsidRDefault="0083626F" w:rsidP="0083626F">
      <w:pPr>
        <w:pStyle w:val="NormalWeb"/>
        <w:spacing w:line="480" w:lineRule="auto"/>
        <w:ind w:left="720" w:hanging="720"/>
      </w:pPr>
      <w:r>
        <w:t xml:space="preserve">Kuhn, M., &amp; Johnson, K. (2013). </w:t>
      </w:r>
      <w:r>
        <w:rPr>
          <w:rStyle w:val="Emphasis"/>
        </w:rPr>
        <w:t>Applied predictive modeling</w:t>
      </w:r>
      <w:r>
        <w:t>. Springer.</w:t>
      </w:r>
    </w:p>
    <w:p w14:paraId="0E15433C" w14:textId="77777777" w:rsidR="0083626F" w:rsidRDefault="0083626F" w:rsidP="0083626F">
      <w:pPr>
        <w:pStyle w:val="NormalWeb"/>
        <w:spacing w:line="480" w:lineRule="auto"/>
        <w:ind w:left="720" w:hanging="720"/>
      </w:pPr>
      <w:r>
        <w:t xml:space="preserve">Wang, L., Salazar, R., &amp; Park, J. (2024). </w:t>
      </w:r>
      <w:r>
        <w:rPr>
          <w:rStyle w:val="Emphasis"/>
        </w:rPr>
        <w:t>Assumption-guided stability evaluation of probability and margin-based multi-class obesity classifiers on correlated anthropometric distributions</w:t>
      </w:r>
      <w:r>
        <w:t xml:space="preserve">. </w:t>
      </w:r>
      <w:r>
        <w:rPr>
          <w:rStyle w:val="Emphasis"/>
        </w:rPr>
        <w:t>IEEE Journal of Biomedical and Health Informatics, 28</w:t>
      </w:r>
      <w:r>
        <w:t>, 2144–2156.</w:t>
      </w:r>
    </w:p>
    <w:p w14:paraId="60C10520" w14:textId="77777777" w:rsidR="0083626F" w:rsidRDefault="0083626F" w:rsidP="0083626F">
      <w:pPr>
        <w:pStyle w:val="NormalWeb"/>
        <w:spacing w:line="480" w:lineRule="auto"/>
        <w:ind w:left="720" w:hanging="720"/>
      </w:pPr>
      <w:r>
        <w:t xml:space="preserve">Zhao, J., Chen, Y., &amp; Wang, S. (2022). </w:t>
      </w:r>
      <w:r>
        <w:rPr>
          <w:rStyle w:val="Emphasis"/>
        </w:rPr>
        <w:t>Comparative evaluation of multi-class classifiers for obesity risk using correlated anthropometric predictors</w:t>
      </w:r>
      <w:r>
        <w:t xml:space="preserve">. </w:t>
      </w:r>
      <w:r>
        <w:rPr>
          <w:rStyle w:val="Emphasis"/>
        </w:rPr>
        <w:t>Journal of Computational Medicine, 15</w:t>
      </w:r>
      <w:r>
        <w:t>(3), 201–215.</w:t>
      </w:r>
    </w:p>
    <w:p w14:paraId="23A8AD03" w14:textId="538BF73B" w:rsidR="001F0380" w:rsidRPr="004C1EA5" w:rsidRDefault="001F0380" w:rsidP="004C1EA5">
      <w:pPr>
        <w:spacing w:line="480" w:lineRule="auto"/>
        <w:ind w:left="720" w:hanging="720"/>
        <w:rPr>
          <w:rFonts w:cs="Times New Roman"/>
        </w:rPr>
      </w:pPr>
    </w:p>
    <w:sectPr w:rsidR="001F0380" w:rsidRPr="004C1E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6217997">
    <w:abstractNumId w:val="8"/>
  </w:num>
  <w:num w:numId="2" w16cid:durableId="1287466523">
    <w:abstractNumId w:val="6"/>
  </w:num>
  <w:num w:numId="3" w16cid:durableId="1761363833">
    <w:abstractNumId w:val="5"/>
  </w:num>
  <w:num w:numId="4" w16cid:durableId="1930580616">
    <w:abstractNumId w:val="4"/>
  </w:num>
  <w:num w:numId="5" w16cid:durableId="1878815043">
    <w:abstractNumId w:val="7"/>
  </w:num>
  <w:num w:numId="6" w16cid:durableId="829760598">
    <w:abstractNumId w:val="3"/>
  </w:num>
  <w:num w:numId="7" w16cid:durableId="652760595">
    <w:abstractNumId w:val="2"/>
  </w:num>
  <w:num w:numId="8" w16cid:durableId="1946691230">
    <w:abstractNumId w:val="1"/>
  </w:num>
  <w:num w:numId="9" w16cid:durableId="322390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380"/>
    <w:rsid w:val="0029639D"/>
    <w:rsid w:val="00326F90"/>
    <w:rsid w:val="00333628"/>
    <w:rsid w:val="00465231"/>
    <w:rsid w:val="00482F0D"/>
    <w:rsid w:val="004C1EA5"/>
    <w:rsid w:val="0083626F"/>
    <w:rsid w:val="009206A5"/>
    <w:rsid w:val="0098014F"/>
    <w:rsid w:val="009A61E9"/>
    <w:rsid w:val="00AA1D8D"/>
    <w:rsid w:val="00B47730"/>
    <w:rsid w:val="00BB08B5"/>
    <w:rsid w:val="00CB0664"/>
    <w:rsid w:val="00D75C39"/>
    <w:rsid w:val="00DA00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31DB72"/>
  <w14:defaultImageDpi w14:val="300"/>
  <w15:docId w15:val="{4E6BE1B9-1A47-1049-AEA2-A3954146F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4C1EA5"/>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9206A5"/>
    <w:rPr>
      <w:rFonts w:ascii="Courier New" w:eastAsia="Times New Roman" w:hAnsi="Courier New" w:cs="Courier New"/>
      <w:sz w:val="20"/>
      <w:szCs w:val="20"/>
    </w:rPr>
  </w:style>
  <w:style w:type="character" w:styleId="Hyperlink">
    <w:name w:val="Hyperlink"/>
    <w:basedOn w:val="DefaultParagraphFont"/>
    <w:uiPriority w:val="99"/>
    <w:unhideWhenUsed/>
    <w:rsid w:val="00465231"/>
    <w:rPr>
      <w:color w:val="0000FF" w:themeColor="hyperlink"/>
      <w:u w:val="single"/>
    </w:rPr>
  </w:style>
  <w:style w:type="character" w:styleId="UnresolvedMention">
    <w:name w:val="Unresolved Mention"/>
    <w:basedOn w:val="DefaultParagraphFont"/>
    <w:uiPriority w:val="99"/>
    <w:semiHidden/>
    <w:unhideWhenUsed/>
    <w:rsid w:val="004652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alburybloom/DDS8555-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10</Pages>
  <Words>1886</Words>
  <Characters>10754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Abigail Albury-Bloom</cp:lastModifiedBy>
  <cp:revision>7</cp:revision>
  <dcterms:created xsi:type="dcterms:W3CDTF">2013-12-23T23:15:00Z</dcterms:created>
  <dcterms:modified xsi:type="dcterms:W3CDTF">2025-11-28T20:20:00Z</dcterms:modified>
  <cp:category/>
</cp:coreProperties>
</file>