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Étude épidémiologique et clinique de la prééclampsie : cas spécifique de l'HGR de Panzi du 1er janvier 2023 au 31 décembre 2024</w:t>
      </w:r>
    </w:p>
    <w:p>
      <w:r>
        <w:t>Auteur : BANENE MWAMINI Divine — Mémoire de fin d'études</w:t>
        <w:br/>
        <w:t>Université Officielle de Bukavu — 2023-2024</w:t>
        <w:br/>
        <w:t>Directeur : CT Dr Philémon MATABISHI — Gynécologue-obstétricien</w:t>
        <w:br/>
        <w:t>Analyse et visualisation : Organon Data Solutions</w:t>
      </w:r>
    </w:p>
    <w:p>
      <w:r>
        <w:t>Date   : 2026</w:t>
      </w:r>
    </w:p>
    <w:p>
      <w:r>
        <w:t>Organon Data Solutions — Bukavu</w:t>
      </w:r>
    </w:p>
    <w:p>
      <w:r>
        <w:br w:type="page"/>
      </w:r>
    </w:p>
    <w:p>
      <w:pPr>
        <w:pStyle w:val="Heading1"/>
      </w:pPr>
      <w:r>
        <w:t>1. Contexte et objectifs</w:t>
      </w:r>
    </w:p>
    <w:p>
      <w:pPr>
        <w:pStyle w:val="Heading2"/>
      </w:pPr>
      <w:r>
        <w:t>Contexte</w:t>
      </w:r>
    </w:p>
    <w:p>
      <w:r>
        <w:t>La prééclampsie est une complication hypertensive spécifique à la grossesse, caractérisée par une pression artérielle systolique supérieure ou égale à 140 mmHg et/ou une pression artérielle diastolique supérieure ou égale à 90 mmHg, associée à une protéinurie apparaissant à partir de la 20e semaine d'aménorrhée. Elle représente une cause majeure de morbi-mortalité maternelle et néonatale, particulièrement dans les pays à revenu faible. Cette étude a été menée à l'Hôpital Général de Référence de Panzi à Bukavu, en République Démocratique du Congo.</w:t>
      </w:r>
    </w:p>
    <w:p>
      <w:pPr>
        <w:pStyle w:val="Heading2"/>
      </w:pPr>
      <w:r>
        <w:t>Objectifs</w:t>
      </w:r>
    </w:p>
    <w:p>
      <w:r>
        <w:t>Déterminer la prévalence ainsi que les facteurs de risque de la prééclampsie à l'HGR de Panzi. Identifier les complications materno-fœtales les plus fréquentes. Décrire les modalités de prise en charge disponibles. Analyser les signes cliniques et paracliniques à l'admission.</w:t>
      </w:r>
    </w:p>
    <w:p>
      <w:pPr>
        <w:pStyle w:val="Heading2"/>
      </w:pPr>
      <w:r>
        <w:t>Population cible</w:t>
      </w:r>
    </w:p>
    <w:p>
      <w:r>
        <w:t>94 patientes ayant développé une prééclampsie parmi 5 830 femmes enceintes admises et ayant accouché à la maternité de l'HGR de Panzi entre janvier 2023 et décembre 2024. Critères d'inclusion : PA ≥ 140/90 mmHg associée à une protéinurie à partir de 20 SA. Étude rétrospective, descriptive et analytique.</w:t>
      </w:r>
    </w:p>
    <w:p>
      <w:r>
        <w:br w:type="page"/>
      </w:r>
    </w:p>
    <w:p>
      <w:pPr>
        <w:pStyle w:val="Heading1"/>
      </w:pPr>
      <w:r>
        <w:t>2. Méthodologie</w:t>
      </w:r>
    </w:p>
    <w:p>
      <w:pPr>
        <w:pStyle w:val="Heading2"/>
      </w:pPr>
      <w:r>
        <w:t>Source des données</w:t>
      </w:r>
    </w:p>
    <w:p>
      <w:r>
        <w:t>Dossiers médicaux, registres d'accouchement et carnets de consultations prénatales de l'HGR de Panzi — Bukavu, RDC. Données collectées via KoboCollect. Reconstruction et analyse réalisées par Organon Data Solutions.</w:t>
      </w:r>
    </w:p>
    <w:p>
      <w:pPr>
        <w:pStyle w:val="Heading2"/>
      </w:pPr>
      <w:r>
        <w:t>Traitement des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Lignes avant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Lignes après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Doublons supprimés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Lignes vides supprimées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1"/>
      </w:pPr>
      <w:r>
        <w:t>3. Résultats</w:t>
      </w:r>
    </w:p>
    <w:p>
      <w:pPr>
        <w:pStyle w:val="Heading2"/>
      </w:pPr>
      <w:r>
        <w:t>3.1 Statistiques descriptives — Variables numériques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Variable</w:t>
            </w:r>
          </w:p>
        </w:tc>
        <w:tc>
          <w:tcPr>
            <w:tcW w:type="dxa" w:w="1080"/>
          </w:tcPr>
          <w:p>
            <w:r>
              <w:t>N</w:t>
            </w:r>
          </w:p>
        </w:tc>
        <w:tc>
          <w:tcPr>
            <w:tcW w:type="dxa" w:w="1080"/>
          </w:tcPr>
          <w:p>
            <w:r>
              <w:t>Moyenne</w:t>
            </w:r>
          </w:p>
        </w:tc>
        <w:tc>
          <w:tcPr>
            <w:tcW w:type="dxa" w:w="1080"/>
          </w:tcPr>
          <w:p>
            <w:r>
              <w:t>Médiane</w:t>
            </w:r>
          </w:p>
        </w:tc>
        <w:tc>
          <w:tcPr>
            <w:tcW w:type="dxa" w:w="1080"/>
          </w:tcPr>
          <w:p>
            <w:r>
              <w:t>Éc.-type</w:t>
            </w:r>
          </w:p>
        </w:tc>
        <w:tc>
          <w:tcPr>
            <w:tcW w:type="dxa" w:w="1080"/>
          </w:tcPr>
          <w:p>
            <w:r>
              <w:t>Min</w:t>
            </w:r>
          </w:p>
        </w:tc>
        <w:tc>
          <w:tcPr>
            <w:tcW w:type="dxa" w:w="1080"/>
          </w:tcPr>
          <w:p>
            <w:r>
              <w:t>Max</w:t>
            </w:r>
          </w:p>
        </w:tc>
        <w:tc>
          <w:tcPr>
            <w:tcW w:type="dxa" w:w="1080"/>
          </w:tcPr>
          <w:p>
            <w:r>
              <w:t>Outliers</w:t>
            </w:r>
          </w:p>
        </w:tc>
      </w:tr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46.5</w:t>
            </w:r>
          </w:p>
        </w:tc>
        <w:tc>
          <w:tcPr>
            <w:tcW w:type="dxa" w:w="1080"/>
          </w:tcPr>
          <w:p>
            <w:r>
              <w:t>46.5</w:t>
            </w:r>
          </w:p>
        </w:tc>
        <w:tc>
          <w:tcPr>
            <w:tcW w:type="dxa" w:w="1080"/>
          </w:tcPr>
          <w:p>
            <w:r>
              <w:t>26.702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annee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2023.641</w:t>
            </w:r>
          </w:p>
        </w:tc>
        <w:tc>
          <w:tcPr>
            <w:tcW w:type="dxa" w:w="1080"/>
          </w:tcPr>
          <w:p>
            <w:r>
              <w:t>2024.0</w:t>
            </w:r>
          </w:p>
        </w:tc>
        <w:tc>
          <w:tcPr>
            <w:tcW w:type="dxa" w:w="1080"/>
          </w:tcPr>
          <w:p>
            <w:r>
              <w:t>0.482</w:t>
            </w:r>
          </w:p>
        </w:tc>
        <w:tc>
          <w:tcPr>
            <w:tcW w:type="dxa" w:w="1080"/>
          </w:tcPr>
          <w:p>
            <w:r>
              <w:t>2023</w:t>
            </w:r>
          </w:p>
        </w:tc>
        <w:tc>
          <w:tcPr>
            <w:tcW w:type="dxa" w:w="1080"/>
          </w:tcPr>
          <w:p>
            <w:r>
              <w:t>2024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p>
      <w:pPr>
        <w:pStyle w:val="Heading2"/>
      </w:pPr>
      <w:r>
        <w:t>3.2 Statistiques descriptives — Variables catégorielles</w:t>
      </w:r>
    </w:p>
    <w:p>
      <w:r>
        <w:t>Variable : tranche_age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20-35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72.8%</w:t>
            </w:r>
          </w:p>
        </w:tc>
      </w:tr>
      <w:tr>
        <w:tc>
          <w:tcPr>
            <w:tcW w:type="dxa" w:w="2880"/>
          </w:tcPr>
          <w:p>
            <w:r>
              <w:t>&gt;35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  <w:tr>
        <w:tc>
          <w:tcPr>
            <w:tcW w:type="dxa" w:w="2880"/>
          </w:tcPr>
          <w:p>
            <w:r>
              <w:t>&lt;20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9.8%</w:t>
            </w:r>
          </w:p>
        </w:tc>
      </w:tr>
    </w:tbl>
    <w:p>
      <w:r>
        <w:t>Variable : provenance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Urbain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67.4%</w:t>
            </w:r>
          </w:p>
        </w:tc>
      </w:tr>
      <w:tr>
        <w:tc>
          <w:tcPr>
            <w:tcW w:type="dxa" w:w="2880"/>
          </w:tcPr>
          <w:p>
            <w:r>
              <w:t>Rural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32.6%</w:t>
            </w:r>
          </w:p>
        </w:tc>
      </w:tr>
    </w:tbl>
    <w:p>
      <w:r>
        <w:t>Variable : statut_matrimonial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Mariee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95.7%</w:t>
            </w:r>
          </w:p>
        </w:tc>
      </w:tr>
      <w:tr>
        <w:tc>
          <w:tcPr>
            <w:tcW w:type="dxa" w:w="2880"/>
          </w:tcPr>
          <w:p>
            <w:r>
              <w:t>Veuve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  <w:tr>
        <w:tc>
          <w:tcPr>
            <w:tcW w:type="dxa" w:w="2880"/>
          </w:tcPr>
          <w:p>
            <w:r>
              <w:t>Celibataire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1.1%</w:t>
            </w:r>
          </w:p>
        </w:tc>
      </w:tr>
    </w:tbl>
    <w:p>
      <w:r>
        <w:t>Variable : profession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Menagere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68.5%</w:t>
            </w:r>
          </w:p>
        </w:tc>
      </w:tr>
      <w:tr>
        <w:tc>
          <w:tcPr>
            <w:tcW w:type="dxa" w:w="2880"/>
          </w:tcPr>
          <w:p>
            <w:r>
              <w:t>Fonctionnaire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19.6%</w:t>
            </w:r>
          </w:p>
        </w:tc>
      </w:tr>
      <w:tr>
        <w:tc>
          <w:tcPr>
            <w:tcW w:type="dxa" w:w="2880"/>
          </w:tcPr>
          <w:p>
            <w:r>
              <w:t>Commercante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7.6%</w:t>
            </w:r>
          </w:p>
        </w:tc>
      </w:tr>
      <w:tr>
        <w:tc>
          <w:tcPr>
            <w:tcW w:type="dxa" w:w="2880"/>
          </w:tcPr>
          <w:p>
            <w:r>
              <w:t>Etudiante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</w:tbl>
    <w:p>
      <w:r>
        <w:t>Variable : motif_consultation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Douleurs lombo-pelviennes et pertes de connaissance</w:t>
            </w:r>
          </w:p>
        </w:tc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71.7%</w:t>
            </w:r>
          </w:p>
        </w:tc>
      </w:tr>
      <w:tr>
        <w:tc>
          <w:tcPr>
            <w:tcW w:type="dxa" w:w="2880"/>
          </w:tcPr>
          <w:p>
            <w:r>
              <w:t>Saignements et convulsions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18.5%</w:t>
            </w:r>
          </w:p>
        </w:tc>
      </w:tr>
      <w:tr>
        <w:tc>
          <w:tcPr>
            <w:tcW w:type="dxa" w:w="2880"/>
          </w:tcPr>
          <w:p>
            <w:r>
              <w:t>Oedemes et autres motifs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5.4%</w:t>
            </w:r>
          </w:p>
        </w:tc>
      </w:tr>
      <w:tr>
        <w:tc>
          <w:tcPr>
            <w:tcW w:type="dxa" w:w="2880"/>
          </w:tcPr>
          <w:p>
            <w:r>
              <w:t>Cephalees et vertiges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</w:tr>
    </w:tbl>
    <w:p>
      <w:r>
        <w:t>Variable : pas_admission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140-159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73.9%</w:t>
            </w:r>
          </w:p>
        </w:tc>
      </w:tr>
      <w:tr>
        <w:tc>
          <w:tcPr>
            <w:tcW w:type="dxa" w:w="2880"/>
          </w:tcPr>
          <w:p>
            <w:r>
              <w:t>160-170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17.4%</w:t>
            </w:r>
          </w:p>
        </w:tc>
      </w:tr>
      <w:tr>
        <w:tc>
          <w:tcPr>
            <w:tcW w:type="dxa" w:w="2880"/>
          </w:tcPr>
          <w:p>
            <w:r>
              <w:t>180-220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</w:tbl>
    <w:p>
      <w:r>
        <w:t>Variable : pad_admission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90-109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76.1%</w:t>
            </w:r>
          </w:p>
        </w:tc>
      </w:tr>
      <w:tr>
        <w:tc>
          <w:tcPr>
            <w:tcW w:type="dxa" w:w="2880"/>
          </w:tcPr>
          <w:p>
            <w:r>
              <w:t>110-120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15.2%</w:t>
            </w:r>
          </w:p>
        </w:tc>
      </w:tr>
      <w:tr>
        <w:tc>
          <w:tcPr>
            <w:tcW w:type="dxa" w:w="2880"/>
          </w:tcPr>
          <w:p>
            <w:r>
              <w:t>130-140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8.7%</w:t>
            </w:r>
          </w:p>
        </w:tc>
      </w:tr>
    </w:tbl>
    <w:p>
      <w:r>
        <w:t>Variable : parite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Primipare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51.1%</w:t>
            </w:r>
          </w:p>
        </w:tc>
      </w:tr>
      <w:tr>
        <w:tc>
          <w:tcPr>
            <w:tcW w:type="dxa" w:w="2880"/>
          </w:tcPr>
          <w:p>
            <w:r>
              <w:t>Multipare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39.1%</w:t>
            </w:r>
          </w:p>
        </w:tc>
      </w:tr>
      <w:tr>
        <w:tc>
          <w:tcPr>
            <w:tcW w:type="dxa" w:w="2880"/>
          </w:tcPr>
          <w:p>
            <w:r>
              <w:t>Pauci-pare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9.8%</w:t>
            </w:r>
          </w:p>
        </w:tc>
      </w:tr>
    </w:tbl>
    <w:p>
      <w:r>
        <w:t>Variable : atcd_medicaux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HTA chronique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37.0%</w:t>
            </w:r>
          </w:p>
        </w:tc>
      </w:tr>
      <w:tr>
        <w:tc>
          <w:tcPr>
            <w:tcW w:type="dxa" w:w="2880"/>
          </w:tcPr>
          <w:p>
            <w:r>
              <w:t>Sans antecedents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35.9%</w:t>
            </w:r>
          </w:p>
        </w:tc>
      </w:tr>
      <w:tr>
        <w:tc>
          <w:tcPr>
            <w:tcW w:type="dxa" w:w="2880"/>
          </w:tcPr>
          <w:p>
            <w:r>
              <w:t>Autres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27.2%</w:t>
            </w:r>
          </w:p>
        </w:tc>
      </w:tr>
    </w:tbl>
    <w:p>
      <w:r>
        <w:t>Variable : prestataire_admission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Gynecologue</w:t>
            </w:r>
          </w:p>
        </w:tc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62.6%</w:t>
            </w:r>
          </w:p>
        </w:tc>
      </w:tr>
      <w:tr>
        <w:tc>
          <w:tcPr>
            <w:tcW w:type="dxa" w:w="2880"/>
          </w:tcPr>
          <w:p>
            <w:r>
              <w:t>Medecin generaliste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34.1%</w:t>
            </w:r>
          </w:p>
        </w:tc>
      </w:tr>
      <w:tr>
        <w:tc>
          <w:tcPr>
            <w:tcW w:type="dxa" w:w="2880"/>
          </w:tcPr>
          <w:p>
            <w:r>
              <w:t>Sage-femme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3.3%</w:t>
            </w:r>
          </w:p>
        </w:tc>
      </w:tr>
    </w:tbl>
    <w:p>
      <w:r>
        <w:t>Variable : proteinurie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2croix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74.7%</w:t>
            </w:r>
          </w:p>
        </w:tc>
      </w:tr>
      <w:tr>
        <w:tc>
          <w:tcPr>
            <w:tcW w:type="dxa" w:w="2880"/>
          </w:tcPr>
          <w:p>
            <w:r>
              <w:t>3croix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25.3%</w:t>
            </w:r>
          </w:p>
        </w:tc>
      </w:tr>
    </w:tbl>
    <w:p>
      <w:r>
        <w:t>Variable : traitement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Antihypertenseurs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56.0%</w:t>
            </w:r>
          </w:p>
        </w:tc>
      </w:tr>
      <w:tr>
        <w:tc>
          <w:tcPr>
            <w:tcW w:type="dxa" w:w="2880"/>
          </w:tcPr>
          <w:p>
            <w:r>
              <w:t>Antihypertenseurs et Sulfate de magnesium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44.0%</w:t>
            </w:r>
          </w:p>
        </w:tc>
      </w:tr>
    </w:tbl>
    <w:p>
      <w:r>
        <w:t>Variable : voie_accouchement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Cesarienne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60.4%</w:t>
            </w:r>
          </w:p>
        </w:tc>
      </w:tr>
      <w:tr>
        <w:tc>
          <w:tcPr>
            <w:tcW w:type="dxa" w:w="2880"/>
          </w:tcPr>
          <w:p>
            <w:r>
              <w:t>Voie basse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39.6%</w:t>
            </w:r>
          </w:p>
        </w:tc>
      </w:tr>
    </w:tbl>
    <w:p>
      <w:r>
        <w:t>Variable : pronostic_maternel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Favorable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95.6%</w:t>
            </w:r>
          </w:p>
        </w:tc>
      </w:tr>
      <w:tr>
        <w:tc>
          <w:tcPr>
            <w:tcW w:type="dxa" w:w="2880"/>
          </w:tcPr>
          <w:p>
            <w:r>
              <w:t>Defavorable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</w:tbl>
    <w:p>
      <w:r>
        <w:t>Variable : pronostic_neonatal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Vivant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76.9%</w:t>
            </w:r>
          </w:p>
        </w:tc>
      </w:tr>
      <w:tr>
        <w:tc>
          <w:tcPr>
            <w:tcW w:type="dxa" w:w="2880"/>
          </w:tcPr>
          <w:p>
            <w:r>
              <w:t>Mort-ne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  <w:tr>
        <w:tc>
          <w:tcPr>
            <w:tcW w:type="dxa" w:w="2880"/>
          </w:tcPr>
          <w:p>
            <w:r>
              <w:t>Deces neonatal precoce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6.6%</w:t>
            </w:r>
          </w:p>
        </w:tc>
      </w:tr>
    </w:tbl>
    <w:p>
      <w:r>
        <w:t>Variable : complications_maternelles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Aucune</w:t>
            </w:r>
          </w:p>
        </w:tc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73.6%</w:t>
            </w:r>
          </w:p>
        </w:tc>
      </w:tr>
      <w:tr>
        <w:tc>
          <w:tcPr>
            <w:tcW w:type="dxa" w:w="2880"/>
          </w:tcPr>
          <w:p>
            <w:r>
              <w:t>Eclampsie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16.5%</w:t>
            </w:r>
          </w:p>
        </w:tc>
      </w:tr>
      <w:tr>
        <w:tc>
          <w:tcPr>
            <w:tcW w:type="dxa" w:w="2880"/>
          </w:tcPr>
          <w:p>
            <w:r>
              <w:t>Hematome retro-placentaire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  <w:tr>
        <w:tc>
          <w:tcPr>
            <w:tcW w:type="dxa" w:w="2880"/>
          </w:tcPr>
          <w:p>
            <w:r>
              <w:t>Hellp syndrome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</w:tbl>
    <w:p>
      <w:r>
        <w:t>Variable : cpn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&lt;4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74.7%</w:t>
            </w:r>
          </w:p>
        </w:tc>
      </w:tr>
      <w:tr>
        <w:tc>
          <w:tcPr>
            <w:tcW w:type="dxa" w:w="2880"/>
          </w:tcPr>
          <w:p>
            <w:r>
              <w:t>5-6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19.8%</w:t>
            </w:r>
          </w:p>
        </w:tc>
      </w:tr>
      <w:tr>
        <w:tc>
          <w:tcPr>
            <w:tcW w:type="dxa" w:w="2880"/>
          </w:tcPr>
          <w:p>
            <w:r>
              <w:t>&gt;6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5.5%</w:t>
            </w:r>
          </w:p>
        </w:tc>
      </w:tr>
    </w:tbl>
    <w:p>
      <w:r>
        <w:t>Variable : sejour_hopital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Modalité</w:t>
            </w:r>
          </w:p>
        </w:tc>
        <w:tc>
          <w:tcPr>
            <w:tcW w:type="dxa" w:w="2880"/>
          </w:tcPr>
          <w:p>
            <w:r>
              <w:t>Effectif</w:t>
            </w:r>
          </w:p>
        </w:tc>
        <w:tc>
          <w:tcPr>
            <w:tcW w:type="dxa" w:w="2880"/>
          </w:tcPr>
          <w:p>
            <w:r>
              <w:t>Pourcentage</w:t>
            </w:r>
          </w:p>
        </w:tc>
      </w:tr>
      <w:tr>
        <w:tc>
          <w:tcPr>
            <w:tcW w:type="dxa" w:w="2880"/>
          </w:tcPr>
          <w:p>
            <w:r>
              <w:t>&lt;5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82.4%</w:t>
            </w:r>
          </w:p>
        </w:tc>
      </w:tr>
      <w:tr>
        <w:tc>
          <w:tcPr>
            <w:tcW w:type="dxa" w:w="2880"/>
          </w:tcPr>
          <w:p>
            <w:r>
              <w:t>6-10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13.2%</w:t>
            </w:r>
          </w:p>
        </w:tc>
      </w:tr>
      <w:tr>
        <w:tc>
          <w:tcPr>
            <w:tcW w:type="dxa" w:w="2880"/>
          </w:tcPr>
          <w:p>
            <w:r>
              <w:t>&gt;10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</w:tr>
    </w:tbl>
    <w:p>
      <w:r>
        <w:br w:type="page"/>
      </w:r>
    </w:p>
    <w:p>
      <w:pPr>
        <w:pStyle w:val="Heading2"/>
      </w:pPr>
      <w:r>
        <w:t>3.3 Visualisations</w:t>
      </w:r>
    </w:p>
    <w:p>
      <w:r>
        <w:drawing>
          <wp:inline xmlns:a="http://schemas.openxmlformats.org/drawingml/2006/main" xmlns:pic="http://schemas.openxmlformats.org/drawingml/2006/picture">
            <wp:extent cx="5029200" cy="3476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ee_den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76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annee_densite.png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che_age_barres_v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tranche_age_barres_vert.png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4258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enance_don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2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provenance_donut.png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t_matrimonial_barres_ve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statut_matrimonial_barres_vert.png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ession_barres_ve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profession_barres_vert.png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278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f_consultation_barres_ve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motif_consultation_barres_vert.png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ite_barres_v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parite_barres_vert.png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cd_medicaux_barres_ve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atcd_medicaux_barres_vert.png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7442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stataire_admission_don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744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prestataire_admission_donut.png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einurie_barres_v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proteinurie_barres_vert.png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tement_barres_ve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traitement_barres_vert.png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ie_accouchement_barres_ve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voie_accouchement_barres_vert.png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ostic_maternel_barres_ve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pronostic_maternel_barres_vert.png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nostic_neonatal_barres_ve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pronostic_neonatal_barres_vert.png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ications_maternelles_barres_ve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complications_maternelles_barres_vert.png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n_barres_ver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cpn_barres_vert.png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50269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jour_hopital_barres_ver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sejour_hopital_barres_vert.png</w:t>
      </w:r>
    </w:p>
    <w:p/>
    <w:p>
      <w:r>
        <w:br w:type="page"/>
      </w:r>
    </w:p>
    <w:p>
      <w:pPr>
        <w:pStyle w:val="Heading1"/>
      </w:pPr>
      <w:r>
        <w:t>4. Interprétation</w:t>
      </w:r>
    </w:p>
    <w:p>
      <w:pPr>
        <w:pStyle w:val="Heading2"/>
      </w:pPr>
      <w:r>
        <w:t>id</w:t>
      </w:r>
    </w:p>
    <w:p>
      <w:r>
        <w:t>Distribution approximativement symétrique.</w:t>
      </w:r>
    </w:p>
    <w:p>
      <w:pPr>
        <w:pStyle w:val="Heading2"/>
      </w:pPr>
      <w:r>
        <w:t>annee</w:t>
      </w:r>
    </w:p>
    <w:p>
      <w:r>
        <w:t>Distribution asymétrique négative (queue longue vers les petites valeurs).</w:t>
      </w:r>
    </w:p>
    <w:p>
      <w:r>
        <w:t>Cette étude confirme la prévalence élevée et la sévérité de la prééclampsie à l'HGR de Panzi. Les primigestes et primipares sont les plus touchées, principalement dans la tranche 20-35 ans. L'éclampsie (29,7%), l'hématome rétroplacentaire (10,6%) et le syndrome HELLP (8,5%) constituent les complications maternelles les plus fréquentes. Le taux de mortalité néonatale atteint 37,2%, reflétant les insuffisances du suivi prénatal — 73,4% des patientes ayant effectué moins de 4 consultations. Le pronostic maternel reste favorable dans 96,8% des cas grâce à l'utilisation de la nicardipine (91,4%) et du sulfate de magnésium (80,85%).</w:t>
      </w:r>
    </w:p>
    <w:p>
      <w:r>
        <w:br w:type="page"/>
      </w:r>
    </w:p>
    <w:p>
      <w:pPr>
        <w:pStyle w:val="Heading1"/>
      </w:pPr>
      <w:r>
        <w:t>5. Annexes</w:t>
      </w:r>
    </w:p>
    <w:p>
      <w:r>
        <w:t>Les données complètes nettoyées sont disponibles dans le fichier Excel joint.</w:t>
      </w:r>
    </w:p>
    <w:p/>
    <w:p>
      <w:r>
        <w:t>Organon Data Solutions — Bukavu</w:t>
      </w:r>
    </w:p>
    <w:p>
      <w:r>
        <w:t>Rapport généré le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