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Prévalence et facteurs de risque associés à l'hypertension artérielle chez les patients diabétiques de type 2 dans la ville de Bukavu — Du 1er juillet 2023 au 30 septembre 2023</w:t>
      </w:r>
    </w:p>
    <w:p>
      <w:r>
        <w:t>Auteur : MUGALIHYA NTONDO Joël — Mémoire de fin d'études</w:t>
        <w:br/>
        <w:t>Université Officielle de Bukavu — 2023-2024</w:t>
        <w:br/>
        <w:t>Directeur : Prof. Dr KATCHUNGA BIANGA Philippe</w:t>
        <w:br/>
        <w:t>Analyse et visualisation : Organon Data Solutions</w:t>
      </w:r>
    </w:p>
    <w:p>
      <w:r>
        <w:t>Date   : 2026</w:t>
      </w:r>
    </w:p>
    <w:p>
      <w:r>
        <w:t>Organon Data Solutions — Bukavu</w:t>
      </w:r>
    </w:p>
    <w:p>
      <w:r>
        <w:br w:type="page"/>
      </w:r>
    </w:p>
    <w:p>
      <w:pPr>
        <w:pStyle w:val="Heading1"/>
      </w:pPr>
      <w:r>
        <w:t>1. Contexte et objectifs</w:t>
      </w:r>
    </w:p>
    <w:p>
      <w:pPr>
        <w:pStyle w:val="Heading2"/>
      </w:pPr>
      <w:r>
        <w:t>Contexte</w:t>
      </w:r>
    </w:p>
    <w:p>
      <w:r>
        <w:t>Le diabète sucré de type 2 constitue un problème de santé publique mondial. L'hypertension artérielle (HTA) est l'un des facteurs de risque cardiovasculaire les plus fréquemment associés au diabète de type 2, augmentant significativement la morbi-mortalité. Cette étude a été menée dans les services de diabétologie des Cliniques Universitaires de Bukavu et de l'HGR de Panzi, en République Démocratique du Congo.</w:t>
      </w:r>
    </w:p>
    <w:p>
      <w:pPr>
        <w:pStyle w:val="Heading2"/>
      </w:pPr>
      <w:r>
        <w:t>Objectifs</w:t>
      </w:r>
    </w:p>
    <w:p>
      <w:r>
        <w:t>Déterminer la prévalence de l'HTA dans un groupe de diabétiques de type 2 dans la ville de Bukavu. Analyser l'association entre l'HTA et les facteurs de risque associés — âge, IMC, tour de taille, durée du diabète, lipidogramme et insulinorésistance.</w:t>
      </w:r>
    </w:p>
    <w:p>
      <w:pPr>
        <w:pStyle w:val="Heading2"/>
      </w:pPr>
      <w:r>
        <w:t>Population cible</w:t>
      </w:r>
    </w:p>
    <w:p>
      <w:r>
        <w:t>288 patients diabétiques connus ayant consulté les services de diabétologie des Cliniques Universitaires de Bukavu et de l'HGR de Panzi entre le 1er juillet et le 30 septembre 2023. Étude rétrospective, descriptive et analytique.</w:t>
      </w:r>
    </w:p>
    <w:p>
      <w:r>
        <w:br w:type="page"/>
      </w:r>
    </w:p>
    <w:p>
      <w:pPr>
        <w:pStyle w:val="Heading1"/>
      </w:pPr>
      <w:r>
        <w:t>2. Méthodologie</w:t>
      </w:r>
    </w:p>
    <w:p>
      <w:pPr>
        <w:pStyle w:val="Heading2"/>
      </w:pPr>
      <w:r>
        <w:t>Source des données</w:t>
      </w:r>
    </w:p>
    <w:p>
      <w:r>
        <w:t>Dossiers médicaux des Cliniques Universitaires de Bukavu et de l'HGR de Panzi — Bukavu, RDC. Données collectées et analysées par Organon Data Solutions.</w:t>
      </w:r>
    </w:p>
    <w:p>
      <w:pPr>
        <w:pStyle w:val="Heading2"/>
      </w:pPr>
      <w:r>
        <w:t>Traitement des données</w:t>
      </w:r>
    </w:p>
    <w:tbl>
      <w:tblPr>
        <w:tblStyle w:val="TableGrid"/>
        <w:tblW w:type="auto" w:w="0"/>
        <w:tblLook w:firstColumn="1" w:firstRow="1" w:lastColumn="0" w:lastRow="0" w:noHBand="0" w:noVBand="1" w:val="04A0"/>
      </w:tblPr>
      <w:tblGrid>
        <w:gridCol w:w="4320"/>
        <w:gridCol w:w="4320"/>
      </w:tblGrid>
      <w:tr>
        <w:tc>
          <w:tcPr>
            <w:tcW w:type="dxa" w:w="4320"/>
          </w:tcPr>
          <w:p>
            <w:r>
              <w:t>Indicateur</w:t>
            </w:r>
          </w:p>
        </w:tc>
        <w:tc>
          <w:tcPr>
            <w:tcW w:type="dxa" w:w="4320"/>
          </w:tcPr>
          <w:p>
            <w:r>
              <w:t>Valeur</w:t>
            </w:r>
          </w:p>
        </w:tc>
      </w:tr>
      <w:tr>
        <w:tc>
          <w:tcPr>
            <w:tcW w:type="dxa" w:w="4320"/>
          </w:tcPr>
          <w:p>
            <w:r>
              <w:t>Lignes avant</w:t>
            </w:r>
          </w:p>
        </w:tc>
        <w:tc>
          <w:tcPr>
            <w:tcW w:type="dxa" w:w="4320"/>
          </w:tcPr>
          <w:p>
            <w:r>
              <w:t>258</w:t>
            </w:r>
          </w:p>
        </w:tc>
      </w:tr>
      <w:tr>
        <w:tc>
          <w:tcPr>
            <w:tcW w:type="dxa" w:w="4320"/>
          </w:tcPr>
          <w:p>
            <w:r>
              <w:t>Lignes après</w:t>
            </w:r>
          </w:p>
        </w:tc>
        <w:tc>
          <w:tcPr>
            <w:tcW w:type="dxa" w:w="4320"/>
          </w:tcPr>
          <w:p>
            <w:r>
              <w:t>258</w:t>
            </w:r>
          </w:p>
        </w:tc>
      </w:tr>
      <w:tr>
        <w:tc>
          <w:tcPr>
            <w:tcW w:type="dxa" w:w="4320"/>
          </w:tcPr>
          <w:p>
            <w:r>
              <w:t>Doublons supprimés</w:t>
            </w:r>
          </w:p>
        </w:tc>
        <w:tc>
          <w:tcPr>
            <w:tcW w:type="dxa" w:w="4320"/>
          </w:tcPr>
          <w:p>
            <w:r>
              <w:t>0</w:t>
            </w:r>
          </w:p>
        </w:tc>
      </w:tr>
      <w:tr>
        <w:tc>
          <w:tcPr>
            <w:tcW w:type="dxa" w:w="4320"/>
          </w:tcPr>
          <w:p>
            <w:r>
              <w:t>Lignes vides supprimées</w:t>
            </w:r>
          </w:p>
        </w:tc>
        <w:tc>
          <w:tcPr>
            <w:tcW w:type="dxa" w:w="4320"/>
          </w:tcPr>
          <w:p>
            <w:r>
              <w:t>0</w:t>
            </w:r>
          </w:p>
        </w:tc>
      </w:tr>
    </w:tbl>
    <w:p>
      <w:r>
        <w:br w:type="page"/>
      </w:r>
    </w:p>
    <w:p>
      <w:pPr>
        <w:pStyle w:val="Heading1"/>
      </w:pPr>
      <w:r>
        <w:t>3. Résultats</w:t>
      </w:r>
    </w:p>
    <w:p>
      <w:pPr>
        <w:pStyle w:val="Heading2"/>
      </w:pPr>
      <w:r>
        <w:t>3.1 Statistiques descriptives — Variables numériques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Variable</w:t>
            </w:r>
          </w:p>
        </w:tc>
        <w:tc>
          <w:tcPr>
            <w:tcW w:type="dxa" w:w="1080"/>
          </w:tcPr>
          <w:p>
            <w:r>
              <w:t>N</w:t>
            </w:r>
          </w:p>
        </w:tc>
        <w:tc>
          <w:tcPr>
            <w:tcW w:type="dxa" w:w="1080"/>
          </w:tcPr>
          <w:p>
            <w:r>
              <w:t>Moyenne</w:t>
            </w:r>
          </w:p>
        </w:tc>
        <w:tc>
          <w:tcPr>
            <w:tcW w:type="dxa" w:w="1080"/>
          </w:tcPr>
          <w:p>
            <w:r>
              <w:t>Médiane</w:t>
            </w:r>
          </w:p>
        </w:tc>
        <w:tc>
          <w:tcPr>
            <w:tcW w:type="dxa" w:w="1080"/>
          </w:tcPr>
          <w:p>
            <w:r>
              <w:t>Éc.-type</w:t>
            </w:r>
          </w:p>
        </w:tc>
        <w:tc>
          <w:tcPr>
            <w:tcW w:type="dxa" w:w="1080"/>
          </w:tcPr>
          <w:p>
            <w:r>
              <w:t>Min</w:t>
            </w:r>
          </w:p>
        </w:tc>
        <w:tc>
          <w:tcPr>
            <w:tcW w:type="dxa" w:w="1080"/>
          </w:tcPr>
          <w:p>
            <w:r>
              <w:t>Max</w:t>
            </w:r>
          </w:p>
        </w:tc>
        <w:tc>
          <w:tcPr>
            <w:tcW w:type="dxa" w:w="1080"/>
          </w:tcPr>
          <w:p>
            <w:r>
              <w:t>Outliers</w:t>
            </w:r>
          </w:p>
        </w:tc>
      </w:tr>
      <w:tr>
        <w:tc>
          <w:tcPr>
            <w:tcW w:type="dxa" w:w="1080"/>
          </w:tcPr>
          <w:p>
            <w:r>
              <w:t>id</w:t>
            </w:r>
          </w:p>
        </w:tc>
        <w:tc>
          <w:tcPr>
            <w:tcW w:type="dxa" w:w="1080"/>
          </w:tcPr>
          <w:p>
            <w:r>
              <w:t>258</w:t>
            </w:r>
          </w:p>
        </w:tc>
        <w:tc>
          <w:tcPr>
            <w:tcW w:type="dxa" w:w="1080"/>
          </w:tcPr>
          <w:p>
            <w:r>
              <w:t>129.5</w:t>
            </w:r>
          </w:p>
        </w:tc>
        <w:tc>
          <w:tcPr>
            <w:tcW w:type="dxa" w:w="1080"/>
          </w:tcPr>
          <w:p>
            <w:r>
              <w:t>129.5</w:t>
            </w:r>
          </w:p>
        </w:tc>
        <w:tc>
          <w:tcPr>
            <w:tcW w:type="dxa" w:w="1080"/>
          </w:tcPr>
          <w:p>
            <w:r>
              <w:t>74.622</w:t>
            </w:r>
          </w:p>
        </w:tc>
        <w:tc>
          <w:tcPr>
            <w:tcW w:type="dxa" w:w="1080"/>
          </w:tcPr>
          <w:p>
            <w:r>
              <w:t>1</w:t>
            </w:r>
          </w:p>
        </w:tc>
        <w:tc>
          <w:tcPr>
            <w:tcW w:type="dxa" w:w="1080"/>
          </w:tcPr>
          <w:p>
            <w:r>
              <w:t>258</w:t>
            </w:r>
          </w:p>
        </w:tc>
        <w:tc>
          <w:tcPr>
            <w:tcW w:type="dxa" w:w="1080"/>
          </w:tcPr>
          <w:p>
            <w:r>
              <w:t>0</w:t>
            </w:r>
          </w:p>
        </w:tc>
      </w:tr>
      <w:tr>
        <w:tc>
          <w:tcPr>
            <w:tcW w:type="dxa" w:w="1080"/>
          </w:tcPr>
          <w:p>
            <w:r>
              <w:t>age</w:t>
            </w:r>
          </w:p>
        </w:tc>
        <w:tc>
          <w:tcPr>
            <w:tcW w:type="dxa" w:w="1080"/>
          </w:tcPr>
          <w:p>
            <w:r>
              <w:t>258</w:t>
            </w:r>
          </w:p>
        </w:tc>
        <w:tc>
          <w:tcPr>
            <w:tcW w:type="dxa" w:w="1080"/>
          </w:tcPr>
          <w:p>
            <w:r>
              <w:t>62.907</w:t>
            </w:r>
          </w:p>
        </w:tc>
        <w:tc>
          <w:tcPr>
            <w:tcW w:type="dxa" w:w="1080"/>
          </w:tcPr>
          <w:p>
            <w:r>
              <w:t>64.0</w:t>
            </w:r>
          </w:p>
        </w:tc>
        <w:tc>
          <w:tcPr>
            <w:tcW w:type="dxa" w:w="1080"/>
          </w:tcPr>
          <w:p>
            <w:r>
              <w:t>14.396</w:t>
            </w:r>
          </w:p>
        </w:tc>
        <w:tc>
          <w:tcPr>
            <w:tcW w:type="dxa" w:w="1080"/>
          </w:tcPr>
          <w:p>
            <w:r>
              <w:t>33</w:t>
            </w:r>
          </w:p>
        </w:tc>
        <w:tc>
          <w:tcPr>
            <w:tcW w:type="dxa" w:w="1080"/>
          </w:tcPr>
          <w:p>
            <w:r>
              <w:t>99</w:t>
            </w:r>
          </w:p>
        </w:tc>
        <w:tc>
          <w:tcPr>
            <w:tcW w:type="dxa" w:w="1080"/>
          </w:tcPr>
          <w:p>
            <w:r>
              <w:t>1</w:t>
            </w:r>
          </w:p>
        </w:tc>
      </w:tr>
      <w:tr>
        <w:tc>
          <w:tcPr>
            <w:tcW w:type="dxa" w:w="1080"/>
          </w:tcPr>
          <w:p>
            <w:r>
              <w:t>imc</w:t>
            </w:r>
          </w:p>
        </w:tc>
        <w:tc>
          <w:tcPr>
            <w:tcW w:type="dxa" w:w="1080"/>
          </w:tcPr>
          <w:p>
            <w:r>
              <w:t>258</w:t>
            </w:r>
          </w:p>
        </w:tc>
        <w:tc>
          <w:tcPr>
            <w:tcW w:type="dxa" w:w="1080"/>
          </w:tcPr>
          <w:p>
            <w:r>
              <w:t>29.781</w:t>
            </w:r>
          </w:p>
        </w:tc>
        <w:tc>
          <w:tcPr>
            <w:tcW w:type="dxa" w:w="1080"/>
          </w:tcPr>
          <w:p>
            <w:r>
              <w:t>29.9</w:t>
            </w:r>
          </w:p>
        </w:tc>
        <w:tc>
          <w:tcPr>
            <w:tcW w:type="dxa" w:w="1080"/>
          </w:tcPr>
          <w:p>
            <w:r>
              <w:t>4.379</w:t>
            </w:r>
          </w:p>
        </w:tc>
        <w:tc>
          <w:tcPr>
            <w:tcW w:type="dxa" w:w="1080"/>
          </w:tcPr>
          <w:p>
            <w:r>
              <w:t>20.4</w:t>
            </w:r>
          </w:p>
        </w:tc>
        <w:tc>
          <w:tcPr>
            <w:tcW w:type="dxa" w:w="1080"/>
          </w:tcPr>
          <w:p>
            <w:r>
              <w:t>42.8</w:t>
            </w:r>
          </w:p>
        </w:tc>
        <w:tc>
          <w:tcPr>
            <w:tcW w:type="dxa" w:w="1080"/>
          </w:tcPr>
          <w:p>
            <w:r>
              <w:t>11</w:t>
            </w:r>
          </w:p>
        </w:tc>
      </w:tr>
      <w:tr>
        <w:tc>
          <w:tcPr>
            <w:tcW w:type="dxa" w:w="1080"/>
          </w:tcPr>
          <w:p>
            <w:r>
              <w:t>tour_de_taille</w:t>
            </w:r>
          </w:p>
        </w:tc>
        <w:tc>
          <w:tcPr>
            <w:tcW w:type="dxa" w:w="1080"/>
          </w:tcPr>
          <w:p>
            <w:r>
              <w:t>257</w:t>
            </w:r>
          </w:p>
        </w:tc>
        <w:tc>
          <w:tcPr>
            <w:tcW w:type="dxa" w:w="1080"/>
          </w:tcPr>
          <w:p>
            <w:r>
              <w:t>100.016</w:t>
            </w:r>
          </w:p>
        </w:tc>
        <w:tc>
          <w:tcPr>
            <w:tcW w:type="dxa" w:w="1080"/>
          </w:tcPr>
          <w:p>
            <w:r>
              <w:t>100.0</w:t>
            </w:r>
          </w:p>
        </w:tc>
        <w:tc>
          <w:tcPr>
            <w:tcW w:type="dxa" w:w="1080"/>
          </w:tcPr>
          <w:p>
            <w:r>
              <w:t>10.528</w:t>
            </w:r>
          </w:p>
        </w:tc>
        <w:tc>
          <w:tcPr>
            <w:tcW w:type="dxa" w:w="1080"/>
          </w:tcPr>
          <w:p>
            <w:r>
              <w:t>79.0</w:t>
            </w:r>
          </w:p>
        </w:tc>
        <w:tc>
          <w:tcPr>
            <w:tcW w:type="dxa" w:w="1080"/>
          </w:tcPr>
          <w:p>
            <w:r>
              <w:t>132.0</w:t>
            </w:r>
          </w:p>
        </w:tc>
        <w:tc>
          <w:tcPr>
            <w:tcW w:type="dxa" w:w="1080"/>
          </w:tcPr>
          <w:p>
            <w:r>
              <w:t>7</w:t>
            </w:r>
          </w:p>
        </w:tc>
      </w:tr>
      <w:tr>
        <w:tc>
          <w:tcPr>
            <w:tcW w:type="dxa" w:w="1080"/>
          </w:tcPr>
          <w:p>
            <w:r>
              <w:t>duree_diabete</w:t>
            </w:r>
          </w:p>
        </w:tc>
        <w:tc>
          <w:tcPr>
            <w:tcW w:type="dxa" w:w="1080"/>
          </w:tcPr>
          <w:p>
            <w:r>
              <w:t>257</w:t>
            </w:r>
          </w:p>
        </w:tc>
        <w:tc>
          <w:tcPr>
            <w:tcW w:type="dxa" w:w="1080"/>
          </w:tcPr>
          <w:p>
            <w:r>
              <w:t>14.611</w:t>
            </w:r>
          </w:p>
        </w:tc>
        <w:tc>
          <w:tcPr>
            <w:tcW w:type="dxa" w:w="1080"/>
          </w:tcPr>
          <w:p>
            <w:r>
              <w:t>13.0</w:t>
            </w:r>
          </w:p>
        </w:tc>
        <w:tc>
          <w:tcPr>
            <w:tcW w:type="dxa" w:w="1080"/>
          </w:tcPr>
          <w:p>
            <w:r>
              <w:t>11.447</w:t>
            </w:r>
          </w:p>
        </w:tc>
        <w:tc>
          <w:tcPr>
            <w:tcW w:type="dxa" w:w="1080"/>
          </w:tcPr>
          <w:p>
            <w:r>
              <w:t>0.0</w:t>
            </w:r>
          </w:p>
        </w:tc>
        <w:tc>
          <w:tcPr>
            <w:tcW w:type="dxa" w:w="1080"/>
          </w:tcPr>
          <w:p>
            <w:r>
              <w:t>49.0</w:t>
            </w:r>
          </w:p>
        </w:tc>
        <w:tc>
          <w:tcPr>
            <w:tcW w:type="dxa" w:w="1080"/>
          </w:tcPr>
          <w:p>
            <w:r>
              <w:t>4</w:t>
            </w:r>
          </w:p>
        </w:tc>
      </w:tr>
      <w:tr>
        <w:tc>
          <w:tcPr>
            <w:tcW w:type="dxa" w:w="1080"/>
          </w:tcPr>
          <w:p>
            <w:r>
              <w:t>hdl</w:t>
            </w:r>
          </w:p>
        </w:tc>
        <w:tc>
          <w:tcPr>
            <w:tcW w:type="dxa" w:w="1080"/>
          </w:tcPr>
          <w:p>
            <w:r>
              <w:t>257</w:t>
            </w:r>
          </w:p>
        </w:tc>
        <w:tc>
          <w:tcPr>
            <w:tcW w:type="dxa" w:w="1080"/>
          </w:tcPr>
          <w:p>
            <w:r>
              <w:t>54.995</w:t>
            </w:r>
          </w:p>
        </w:tc>
        <w:tc>
          <w:tcPr>
            <w:tcW w:type="dxa" w:w="1080"/>
          </w:tcPr>
          <w:p>
            <w:r>
              <w:t>51.0</w:t>
            </w:r>
          </w:p>
        </w:tc>
        <w:tc>
          <w:tcPr>
            <w:tcW w:type="dxa" w:w="1080"/>
          </w:tcPr>
          <w:p>
            <w:r>
              <w:t>15.293</w:t>
            </w:r>
          </w:p>
        </w:tc>
        <w:tc>
          <w:tcPr>
            <w:tcW w:type="dxa" w:w="1080"/>
          </w:tcPr>
          <w:p>
            <w:r>
              <w:t>26.4</w:t>
            </w:r>
          </w:p>
        </w:tc>
        <w:tc>
          <w:tcPr>
            <w:tcW w:type="dxa" w:w="1080"/>
          </w:tcPr>
          <w:p>
            <w:r>
              <w:t>88.4</w:t>
            </w:r>
          </w:p>
        </w:tc>
        <w:tc>
          <w:tcPr>
            <w:tcW w:type="dxa" w:w="1080"/>
          </w:tcPr>
          <w:p>
            <w:r>
              <w:t>0</w:t>
            </w:r>
          </w:p>
        </w:tc>
      </w:tr>
      <w:tr>
        <w:tc>
          <w:tcPr>
            <w:tcW w:type="dxa" w:w="1080"/>
          </w:tcPr>
          <w:p>
            <w:r>
              <w:t>ldl</w:t>
            </w:r>
          </w:p>
        </w:tc>
        <w:tc>
          <w:tcPr>
            <w:tcW w:type="dxa" w:w="1080"/>
          </w:tcPr>
          <w:p>
            <w:r>
              <w:t>257</w:t>
            </w:r>
          </w:p>
        </w:tc>
        <w:tc>
          <w:tcPr>
            <w:tcW w:type="dxa" w:w="1080"/>
          </w:tcPr>
          <w:p>
            <w:r>
              <w:t>121.897</w:t>
            </w:r>
          </w:p>
        </w:tc>
        <w:tc>
          <w:tcPr>
            <w:tcW w:type="dxa" w:w="1080"/>
          </w:tcPr>
          <w:p>
            <w:r>
              <w:t>123.6</w:t>
            </w:r>
          </w:p>
        </w:tc>
        <w:tc>
          <w:tcPr>
            <w:tcW w:type="dxa" w:w="1080"/>
          </w:tcPr>
          <w:p>
            <w:r>
              <w:t>14.18</w:t>
            </w:r>
          </w:p>
        </w:tc>
        <w:tc>
          <w:tcPr>
            <w:tcW w:type="dxa" w:w="1080"/>
          </w:tcPr>
          <w:p>
            <w:r>
              <w:t>88.2</w:t>
            </w:r>
          </w:p>
        </w:tc>
        <w:tc>
          <w:tcPr>
            <w:tcW w:type="dxa" w:w="1080"/>
          </w:tcPr>
          <w:p>
            <w:r>
              <w:t>154.4</w:t>
            </w:r>
          </w:p>
        </w:tc>
        <w:tc>
          <w:tcPr>
            <w:tcW w:type="dxa" w:w="1080"/>
          </w:tcPr>
          <w:p>
            <w:r>
              <w:t>19</w:t>
            </w:r>
          </w:p>
        </w:tc>
      </w:tr>
      <w:tr>
        <w:tc>
          <w:tcPr>
            <w:tcW w:type="dxa" w:w="1080"/>
          </w:tcPr>
          <w:p>
            <w:r>
              <w:t>cholesterol_total</w:t>
            </w:r>
          </w:p>
        </w:tc>
        <w:tc>
          <w:tcPr>
            <w:tcW w:type="dxa" w:w="1080"/>
          </w:tcPr>
          <w:p>
            <w:r>
              <w:t>257</w:t>
            </w:r>
          </w:p>
        </w:tc>
        <w:tc>
          <w:tcPr>
            <w:tcW w:type="dxa" w:w="1080"/>
          </w:tcPr>
          <w:p>
            <w:r>
              <w:t>212.302</w:t>
            </w:r>
          </w:p>
        </w:tc>
        <w:tc>
          <w:tcPr>
            <w:tcW w:type="dxa" w:w="1080"/>
          </w:tcPr>
          <w:p>
            <w:r>
              <w:t>213.2</w:t>
            </w:r>
          </w:p>
        </w:tc>
        <w:tc>
          <w:tcPr>
            <w:tcW w:type="dxa" w:w="1080"/>
          </w:tcPr>
          <w:p>
            <w:r>
              <w:t>18.064</w:t>
            </w:r>
          </w:p>
        </w:tc>
        <w:tc>
          <w:tcPr>
            <w:tcW w:type="dxa" w:w="1080"/>
          </w:tcPr>
          <w:p>
            <w:r>
              <w:t>172.4</w:t>
            </w:r>
          </w:p>
        </w:tc>
        <w:tc>
          <w:tcPr>
            <w:tcW w:type="dxa" w:w="1080"/>
          </w:tcPr>
          <w:p>
            <w:r>
              <w:t>258.0</w:t>
            </w:r>
          </w:p>
        </w:tc>
        <w:tc>
          <w:tcPr>
            <w:tcW w:type="dxa" w:w="1080"/>
          </w:tcPr>
          <w:p>
            <w:r>
              <w:t>13</w:t>
            </w:r>
          </w:p>
        </w:tc>
      </w:tr>
      <w:tr>
        <w:tc>
          <w:tcPr>
            <w:tcW w:type="dxa" w:w="1080"/>
          </w:tcPr>
          <w:p>
            <w:r>
              <w:t>triglycerides</w:t>
            </w:r>
          </w:p>
        </w:tc>
        <w:tc>
          <w:tcPr>
            <w:tcW w:type="dxa" w:w="1080"/>
          </w:tcPr>
          <w:p>
            <w:r>
              <w:t>257</w:t>
            </w:r>
          </w:p>
        </w:tc>
        <w:tc>
          <w:tcPr>
            <w:tcW w:type="dxa" w:w="1080"/>
          </w:tcPr>
          <w:p>
            <w:r>
              <w:t>155.08</w:t>
            </w:r>
          </w:p>
        </w:tc>
        <w:tc>
          <w:tcPr>
            <w:tcW w:type="dxa" w:w="1080"/>
          </w:tcPr>
          <w:p>
            <w:r>
              <w:t>157.8</w:t>
            </w:r>
          </w:p>
        </w:tc>
        <w:tc>
          <w:tcPr>
            <w:tcW w:type="dxa" w:w="1080"/>
          </w:tcPr>
          <w:p>
            <w:r>
              <w:t>23.071</w:t>
            </w:r>
          </w:p>
        </w:tc>
        <w:tc>
          <w:tcPr>
            <w:tcW w:type="dxa" w:w="1080"/>
          </w:tcPr>
          <w:p>
            <w:r>
              <w:t>106.2</w:t>
            </w:r>
          </w:p>
        </w:tc>
        <w:tc>
          <w:tcPr>
            <w:tcW w:type="dxa" w:w="1080"/>
          </w:tcPr>
          <w:p>
            <w:r>
              <w:t>210.0</w:t>
            </w:r>
          </w:p>
        </w:tc>
        <w:tc>
          <w:tcPr>
            <w:tcW w:type="dxa" w:w="1080"/>
          </w:tcPr>
          <w:p>
            <w:r>
              <w:t>1</w:t>
            </w:r>
          </w:p>
        </w:tc>
      </w:tr>
      <w:tr>
        <w:tc>
          <w:tcPr>
            <w:tcW w:type="dxa" w:w="1080"/>
          </w:tcPr>
          <w:p>
            <w:r>
              <w:t>homa_ir</w:t>
            </w:r>
          </w:p>
        </w:tc>
        <w:tc>
          <w:tcPr>
            <w:tcW w:type="dxa" w:w="1080"/>
          </w:tcPr>
          <w:p>
            <w:r>
              <w:t>257</w:t>
            </w:r>
          </w:p>
        </w:tc>
        <w:tc>
          <w:tcPr>
            <w:tcW w:type="dxa" w:w="1080"/>
          </w:tcPr>
          <w:p>
            <w:r>
              <w:t>5.954</w:t>
            </w:r>
          </w:p>
        </w:tc>
        <w:tc>
          <w:tcPr>
            <w:tcW w:type="dxa" w:w="1080"/>
          </w:tcPr>
          <w:p>
            <w:r>
              <w:t>5.8</w:t>
            </w:r>
          </w:p>
        </w:tc>
        <w:tc>
          <w:tcPr>
            <w:tcW w:type="dxa" w:w="1080"/>
          </w:tcPr>
          <w:p>
            <w:r>
              <w:t>2.129</w:t>
            </w:r>
          </w:p>
        </w:tc>
        <w:tc>
          <w:tcPr>
            <w:tcW w:type="dxa" w:w="1080"/>
          </w:tcPr>
          <w:p>
            <w:r>
              <w:t>1.9</w:t>
            </w:r>
          </w:p>
        </w:tc>
        <w:tc>
          <w:tcPr>
            <w:tcW w:type="dxa" w:w="1080"/>
          </w:tcPr>
          <w:p>
            <w:r>
              <w:t>12.4</w:t>
            </w:r>
          </w:p>
        </w:tc>
        <w:tc>
          <w:tcPr>
            <w:tcW w:type="dxa" w:w="1080"/>
          </w:tcPr>
          <w:p>
            <w:r>
              <w:t>9</w:t>
            </w:r>
          </w:p>
        </w:tc>
      </w:tr>
      <w:tr>
        <w:tc>
          <w:tcPr>
            <w:tcW w:type="dxa" w:w="1080"/>
          </w:tcPr>
          <w:p>
            <w:r>
              <w:t>homa_s</w:t>
            </w:r>
          </w:p>
        </w:tc>
        <w:tc>
          <w:tcPr>
            <w:tcW w:type="dxa" w:w="1080"/>
          </w:tcPr>
          <w:p>
            <w:r>
              <w:t>257</w:t>
            </w:r>
          </w:p>
        </w:tc>
        <w:tc>
          <w:tcPr>
            <w:tcW w:type="dxa" w:w="1080"/>
          </w:tcPr>
          <w:p>
            <w:r>
              <w:t>37.67</w:t>
            </w:r>
          </w:p>
        </w:tc>
        <w:tc>
          <w:tcPr>
            <w:tcW w:type="dxa" w:w="1080"/>
          </w:tcPr>
          <w:p>
            <w:r>
              <w:t>36.2</w:t>
            </w:r>
          </w:p>
        </w:tc>
        <w:tc>
          <w:tcPr>
            <w:tcW w:type="dxa" w:w="1080"/>
          </w:tcPr>
          <w:p>
            <w:r>
              <w:t>17.189</w:t>
            </w:r>
          </w:p>
        </w:tc>
        <w:tc>
          <w:tcPr>
            <w:tcW w:type="dxa" w:w="1080"/>
          </w:tcPr>
          <w:p>
            <w:r>
              <w:t>3.0</w:t>
            </w:r>
          </w:p>
        </w:tc>
        <w:tc>
          <w:tcPr>
            <w:tcW w:type="dxa" w:w="1080"/>
          </w:tcPr>
          <w:p>
            <w:r>
              <w:t>82.6</w:t>
            </w:r>
          </w:p>
        </w:tc>
        <w:tc>
          <w:tcPr>
            <w:tcW w:type="dxa" w:w="1080"/>
          </w:tcPr>
          <w:p>
            <w:r>
              <w:t>22</w:t>
            </w:r>
          </w:p>
        </w:tc>
      </w:tr>
    </w:tbl>
    <w:p>
      <w:pPr>
        <w:pStyle w:val="Heading2"/>
      </w:pPr>
      <w:r>
        <w:t>3.2 Statistiques descriptives — Variables catégorielles</w:t>
      </w:r>
    </w:p>
    <w:p>
      <w:r>
        <w:t>Variable : tranche_age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&gt;=60</w:t>
            </w:r>
          </w:p>
        </w:tc>
        <w:tc>
          <w:tcPr>
            <w:tcW w:type="dxa" w:w="2880"/>
          </w:tcPr>
          <w:p>
            <w:r>
              <w:t>139</w:t>
            </w:r>
          </w:p>
        </w:tc>
        <w:tc>
          <w:tcPr>
            <w:tcW w:type="dxa" w:w="2880"/>
          </w:tcPr>
          <w:p>
            <w:r>
              <w:t>53.9%</w:t>
            </w:r>
          </w:p>
        </w:tc>
      </w:tr>
      <w:tr>
        <w:tc>
          <w:tcPr>
            <w:tcW w:type="dxa" w:w="2880"/>
          </w:tcPr>
          <w:p>
            <w:r>
              <w:t>40-59</w:t>
            </w:r>
          </w:p>
        </w:tc>
        <w:tc>
          <w:tcPr>
            <w:tcW w:type="dxa" w:w="2880"/>
          </w:tcPr>
          <w:p>
            <w:r>
              <w:t>112</w:t>
            </w:r>
          </w:p>
        </w:tc>
        <w:tc>
          <w:tcPr>
            <w:tcW w:type="dxa" w:w="2880"/>
          </w:tcPr>
          <w:p>
            <w:r>
              <w:t>43.4%</w:t>
            </w:r>
          </w:p>
        </w:tc>
      </w:tr>
      <w:tr>
        <w:tc>
          <w:tcPr>
            <w:tcW w:type="dxa" w:w="2880"/>
          </w:tcPr>
          <w:p>
            <w:r>
              <w:t>&lt;40</w:t>
            </w:r>
          </w:p>
        </w:tc>
        <w:tc>
          <w:tcPr>
            <w:tcW w:type="dxa" w:w="2880"/>
          </w:tcPr>
          <w:p>
            <w:r>
              <w:t>7</w:t>
            </w:r>
          </w:p>
        </w:tc>
        <w:tc>
          <w:tcPr>
            <w:tcW w:type="dxa" w:w="2880"/>
          </w:tcPr>
          <w:p>
            <w:r>
              <w:t>2.7%</w:t>
            </w:r>
          </w:p>
        </w:tc>
      </w:tr>
    </w:tbl>
    <w:p>
      <w:r>
        <w:t>Variable : sexe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F</w:t>
            </w:r>
          </w:p>
        </w:tc>
        <w:tc>
          <w:tcPr>
            <w:tcW w:type="dxa" w:w="2880"/>
          </w:tcPr>
          <w:p>
            <w:r>
              <w:t>129</w:t>
            </w:r>
          </w:p>
        </w:tc>
        <w:tc>
          <w:tcPr>
            <w:tcW w:type="dxa" w:w="2880"/>
          </w:tcPr>
          <w:p>
            <w:r>
              <w:t>50.0%</w:t>
            </w:r>
          </w:p>
        </w:tc>
      </w:tr>
      <w:tr>
        <w:tc>
          <w:tcPr>
            <w:tcW w:type="dxa" w:w="2880"/>
          </w:tcPr>
          <w:p>
            <w:r>
              <w:t>M</w:t>
            </w:r>
          </w:p>
        </w:tc>
        <w:tc>
          <w:tcPr>
            <w:tcW w:type="dxa" w:w="2880"/>
          </w:tcPr>
          <w:p>
            <w:r>
              <w:t>129</w:t>
            </w:r>
          </w:p>
        </w:tc>
        <w:tc>
          <w:tcPr>
            <w:tcW w:type="dxa" w:w="2880"/>
          </w:tcPr>
          <w:p>
            <w:r>
              <w:t>50.0%</w:t>
            </w:r>
          </w:p>
        </w:tc>
      </w:tr>
    </w:tbl>
    <w:p>
      <w:r>
        <w:t>Variable : obesite_abdominale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Oui</w:t>
            </w:r>
          </w:p>
        </w:tc>
        <w:tc>
          <w:tcPr>
            <w:tcW w:type="dxa" w:w="2880"/>
          </w:tcPr>
          <w:p>
            <w:r>
              <w:t>180</w:t>
            </w:r>
          </w:p>
        </w:tc>
        <w:tc>
          <w:tcPr>
            <w:tcW w:type="dxa" w:w="2880"/>
          </w:tcPr>
          <w:p>
            <w:r>
              <w:t>70.0%</w:t>
            </w:r>
          </w:p>
        </w:tc>
      </w:tr>
      <w:tr>
        <w:tc>
          <w:tcPr>
            <w:tcW w:type="dxa" w:w="2880"/>
          </w:tcPr>
          <w:p>
            <w:r>
              <w:t>Non</w:t>
            </w:r>
          </w:p>
        </w:tc>
        <w:tc>
          <w:tcPr>
            <w:tcW w:type="dxa" w:w="2880"/>
          </w:tcPr>
          <w:p>
            <w:r>
              <w:t>77</w:t>
            </w:r>
          </w:p>
        </w:tc>
        <w:tc>
          <w:tcPr>
            <w:tcW w:type="dxa" w:w="2880"/>
          </w:tcPr>
          <w:p>
            <w:r>
              <w:t>30.0%</w:t>
            </w:r>
          </w:p>
        </w:tc>
      </w:tr>
    </w:tbl>
    <w:p>
      <w:r>
        <w:t>Variable : hta</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Oui</w:t>
            </w:r>
          </w:p>
        </w:tc>
        <w:tc>
          <w:tcPr>
            <w:tcW w:type="dxa" w:w="2880"/>
          </w:tcPr>
          <w:p>
            <w:r>
              <w:t>198</w:t>
            </w:r>
          </w:p>
        </w:tc>
        <w:tc>
          <w:tcPr>
            <w:tcW w:type="dxa" w:w="2880"/>
          </w:tcPr>
          <w:p>
            <w:r>
              <w:t>77.0%</w:t>
            </w:r>
          </w:p>
        </w:tc>
      </w:tr>
      <w:tr>
        <w:tc>
          <w:tcPr>
            <w:tcW w:type="dxa" w:w="2880"/>
          </w:tcPr>
          <w:p>
            <w:r>
              <w:t>Non</w:t>
            </w:r>
          </w:p>
        </w:tc>
        <w:tc>
          <w:tcPr>
            <w:tcW w:type="dxa" w:w="2880"/>
          </w:tcPr>
          <w:p>
            <w:r>
              <w:t>59</w:t>
            </w:r>
          </w:p>
        </w:tc>
        <w:tc>
          <w:tcPr>
            <w:tcW w:type="dxa" w:w="2880"/>
          </w:tcPr>
          <w:p>
            <w:r>
              <w:t>23.0%</w:t>
            </w:r>
          </w:p>
        </w:tc>
      </w:tr>
    </w:tbl>
    <w:p>
      <w:r>
        <w:t>Variable : hta_connue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Oui</w:t>
            </w:r>
          </w:p>
        </w:tc>
        <w:tc>
          <w:tcPr>
            <w:tcW w:type="dxa" w:w="2880"/>
          </w:tcPr>
          <w:p>
            <w:r>
              <w:t>142</w:t>
            </w:r>
          </w:p>
        </w:tc>
        <w:tc>
          <w:tcPr>
            <w:tcW w:type="dxa" w:w="2880"/>
          </w:tcPr>
          <w:p>
            <w:r>
              <w:t>55.3%</w:t>
            </w:r>
          </w:p>
        </w:tc>
      </w:tr>
      <w:tr>
        <w:tc>
          <w:tcPr>
            <w:tcW w:type="dxa" w:w="2880"/>
          </w:tcPr>
          <w:p>
            <w:r>
              <w:t>Non</w:t>
            </w:r>
          </w:p>
        </w:tc>
        <w:tc>
          <w:tcPr>
            <w:tcW w:type="dxa" w:w="2880"/>
          </w:tcPr>
          <w:p>
            <w:r>
              <w:t>115</w:t>
            </w:r>
          </w:p>
        </w:tc>
        <w:tc>
          <w:tcPr>
            <w:tcW w:type="dxa" w:w="2880"/>
          </w:tcPr>
          <w:p>
            <w:r>
              <w:t>44.7%</w:t>
            </w:r>
          </w:p>
        </w:tc>
      </w:tr>
    </w:tbl>
    <w:p>
      <w:r>
        <w:t>Variable : hta_controlee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Non</w:t>
            </w:r>
          </w:p>
        </w:tc>
        <w:tc>
          <w:tcPr>
            <w:tcW w:type="dxa" w:w="2880"/>
          </w:tcPr>
          <w:p>
            <w:r>
              <w:t>255</w:t>
            </w:r>
          </w:p>
        </w:tc>
        <w:tc>
          <w:tcPr>
            <w:tcW w:type="dxa" w:w="2880"/>
          </w:tcPr>
          <w:p>
            <w:r>
              <w:t>99.2%</w:t>
            </w:r>
          </w:p>
        </w:tc>
      </w:tr>
      <w:tr>
        <w:tc>
          <w:tcPr>
            <w:tcW w:type="dxa" w:w="2880"/>
          </w:tcPr>
          <w:p>
            <w:r>
              <w:t>Oui</w:t>
            </w:r>
          </w:p>
        </w:tc>
        <w:tc>
          <w:tcPr>
            <w:tcW w:type="dxa" w:w="2880"/>
          </w:tcPr>
          <w:p>
            <w:r>
              <w:t>2</w:t>
            </w:r>
          </w:p>
        </w:tc>
        <w:tc>
          <w:tcPr>
            <w:tcW w:type="dxa" w:w="2880"/>
          </w:tcPr>
          <w:p>
            <w:r>
              <w:t>0.8%</w:t>
            </w:r>
          </w:p>
        </w:tc>
      </w:tr>
    </w:tbl>
    <w:p>
      <w:r>
        <w:t>Variable : insulinoresistance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Oui</w:t>
            </w:r>
          </w:p>
        </w:tc>
        <w:tc>
          <w:tcPr>
            <w:tcW w:type="dxa" w:w="2880"/>
          </w:tcPr>
          <w:p>
            <w:r>
              <w:t>198</w:t>
            </w:r>
          </w:p>
        </w:tc>
        <w:tc>
          <w:tcPr>
            <w:tcW w:type="dxa" w:w="2880"/>
          </w:tcPr>
          <w:p>
            <w:r>
              <w:t>77.0%</w:t>
            </w:r>
          </w:p>
        </w:tc>
      </w:tr>
      <w:tr>
        <w:tc>
          <w:tcPr>
            <w:tcW w:type="dxa" w:w="2880"/>
          </w:tcPr>
          <w:p>
            <w:r>
              <w:t>Non</w:t>
            </w:r>
          </w:p>
        </w:tc>
        <w:tc>
          <w:tcPr>
            <w:tcW w:type="dxa" w:w="2880"/>
          </w:tcPr>
          <w:p>
            <w:r>
              <w:t>59</w:t>
            </w:r>
          </w:p>
        </w:tc>
        <w:tc>
          <w:tcPr>
            <w:tcW w:type="dxa" w:w="2880"/>
          </w:tcPr>
          <w:p>
            <w:r>
              <w:t>23.0%</w:t>
            </w:r>
          </w:p>
        </w:tc>
      </w:tr>
    </w:tbl>
    <w:p>
      <w:r>
        <w:br w:type="page"/>
      </w:r>
    </w:p>
    <w:p>
      <w:pPr>
        <w:pStyle w:val="Heading2"/>
      </w:pPr>
      <w:r>
        <w:t>3.3 Visualisations</w:t>
      </w:r>
    </w:p>
    <w:p>
      <w:r>
        <w:drawing>
          <wp:inline xmlns:a="http://schemas.openxmlformats.org/drawingml/2006/main" xmlns:pic="http://schemas.openxmlformats.org/drawingml/2006/picture">
            <wp:extent cx="5029200" cy="3502690"/>
            <wp:docPr id="1" name="Picture 1"/>
            <wp:cNvGraphicFramePr>
              <a:graphicFrameLocks noChangeAspect="1"/>
            </wp:cNvGraphicFramePr>
            <a:graphic>
              <a:graphicData uri="http://schemas.openxmlformats.org/drawingml/2006/picture">
                <pic:pic>
                  <pic:nvPicPr>
                    <pic:cNvPr id="0" name="age_barres_vert.png"/>
                    <pic:cNvPicPr/>
                  </pic:nvPicPr>
                  <pic:blipFill>
                    <a:blip r:embed="rId9"/>
                    <a:stretch>
                      <a:fillRect/>
                    </a:stretch>
                  </pic:blipFill>
                  <pic:spPr>
                    <a:xfrm>
                      <a:off x="0" y="0"/>
                      <a:ext cx="5029200" cy="3502690"/>
                    </a:xfrm>
                    <a:prstGeom prst="rect"/>
                  </pic:spPr>
                </pic:pic>
              </a:graphicData>
            </a:graphic>
          </wp:inline>
        </w:drawing>
      </w:r>
    </w:p>
    <w:p>
      <w:pPr>
        <w:jc w:val="center"/>
      </w:pPr>
      <w:r>
        <w:t>age_barres_vert.png</w:t>
      </w:r>
    </w:p>
    <w:p/>
    <w:p>
      <w:r>
        <w:drawing>
          <wp:inline xmlns:a="http://schemas.openxmlformats.org/drawingml/2006/main" xmlns:pic="http://schemas.openxmlformats.org/drawingml/2006/picture">
            <wp:extent cx="5029200" cy="3463975"/>
            <wp:docPr id="2" name="Picture 2"/>
            <wp:cNvGraphicFramePr>
              <a:graphicFrameLocks noChangeAspect="1"/>
            </wp:cNvGraphicFramePr>
            <a:graphic>
              <a:graphicData uri="http://schemas.openxmlformats.org/drawingml/2006/picture">
                <pic:pic>
                  <pic:nvPicPr>
                    <pic:cNvPr id="0" name="tranche_age_barres_vert.png"/>
                    <pic:cNvPicPr/>
                  </pic:nvPicPr>
                  <pic:blipFill>
                    <a:blip r:embed="rId10"/>
                    <a:stretch>
                      <a:fillRect/>
                    </a:stretch>
                  </pic:blipFill>
                  <pic:spPr>
                    <a:xfrm>
                      <a:off x="0" y="0"/>
                      <a:ext cx="5029200" cy="3463975"/>
                    </a:xfrm>
                    <a:prstGeom prst="rect"/>
                  </pic:spPr>
                </pic:pic>
              </a:graphicData>
            </a:graphic>
          </wp:inline>
        </w:drawing>
      </w:r>
    </w:p>
    <w:p>
      <w:pPr>
        <w:jc w:val="center"/>
      </w:pPr>
      <w:r>
        <w:t>tranche_age_barres_vert.png</w:t>
      </w:r>
    </w:p>
    <w:p/>
    <w:p>
      <w:r>
        <w:drawing>
          <wp:inline xmlns:a="http://schemas.openxmlformats.org/drawingml/2006/main" xmlns:pic="http://schemas.openxmlformats.org/drawingml/2006/picture">
            <wp:extent cx="5029200" cy="3463975"/>
            <wp:docPr id="3" name="Picture 3"/>
            <wp:cNvGraphicFramePr>
              <a:graphicFrameLocks noChangeAspect="1"/>
            </wp:cNvGraphicFramePr>
            <a:graphic>
              <a:graphicData uri="http://schemas.openxmlformats.org/drawingml/2006/picture">
                <pic:pic>
                  <pic:nvPicPr>
                    <pic:cNvPr id="0" name="sexe_barres_vert.png"/>
                    <pic:cNvPicPr/>
                  </pic:nvPicPr>
                  <pic:blipFill>
                    <a:blip r:embed="rId11"/>
                    <a:stretch>
                      <a:fillRect/>
                    </a:stretch>
                  </pic:blipFill>
                  <pic:spPr>
                    <a:xfrm>
                      <a:off x="0" y="0"/>
                      <a:ext cx="5029200" cy="3463975"/>
                    </a:xfrm>
                    <a:prstGeom prst="rect"/>
                  </pic:spPr>
                </pic:pic>
              </a:graphicData>
            </a:graphic>
          </wp:inline>
        </w:drawing>
      </w:r>
    </w:p>
    <w:p>
      <w:pPr>
        <w:jc w:val="center"/>
      </w:pPr>
      <w:r>
        <w:t>sexe_barres_vert.png</w:t>
      </w:r>
    </w:p>
    <w:p/>
    <w:p>
      <w:r>
        <w:drawing>
          <wp:inline xmlns:a="http://schemas.openxmlformats.org/drawingml/2006/main" xmlns:pic="http://schemas.openxmlformats.org/drawingml/2006/picture">
            <wp:extent cx="5029200" cy="3542281"/>
            <wp:docPr id="4" name="Picture 4"/>
            <wp:cNvGraphicFramePr>
              <a:graphicFrameLocks noChangeAspect="1"/>
            </wp:cNvGraphicFramePr>
            <a:graphic>
              <a:graphicData uri="http://schemas.openxmlformats.org/drawingml/2006/picture">
                <pic:pic>
                  <pic:nvPicPr>
                    <pic:cNvPr id="0" name="imc_barres_vert.png"/>
                    <pic:cNvPicPr/>
                  </pic:nvPicPr>
                  <pic:blipFill>
                    <a:blip r:embed="rId12"/>
                    <a:stretch>
                      <a:fillRect/>
                    </a:stretch>
                  </pic:blipFill>
                  <pic:spPr>
                    <a:xfrm>
                      <a:off x="0" y="0"/>
                      <a:ext cx="5029200" cy="3542281"/>
                    </a:xfrm>
                    <a:prstGeom prst="rect"/>
                  </pic:spPr>
                </pic:pic>
              </a:graphicData>
            </a:graphic>
          </wp:inline>
        </w:drawing>
      </w:r>
    </w:p>
    <w:p>
      <w:pPr>
        <w:jc w:val="center"/>
      </w:pPr>
      <w:r>
        <w:t>imc_barres_vert.png</w:t>
      </w:r>
    </w:p>
    <w:p/>
    <w:p>
      <w:r>
        <w:drawing>
          <wp:inline xmlns:a="http://schemas.openxmlformats.org/drawingml/2006/main" xmlns:pic="http://schemas.openxmlformats.org/drawingml/2006/picture">
            <wp:extent cx="5029200" cy="3398808"/>
            <wp:docPr id="5" name="Picture 5"/>
            <wp:cNvGraphicFramePr>
              <a:graphicFrameLocks noChangeAspect="1"/>
            </wp:cNvGraphicFramePr>
            <a:graphic>
              <a:graphicData uri="http://schemas.openxmlformats.org/drawingml/2006/picture">
                <pic:pic>
                  <pic:nvPicPr>
                    <pic:cNvPr id="0" name="tour_de_taille_histogramme.png"/>
                    <pic:cNvPicPr/>
                  </pic:nvPicPr>
                  <pic:blipFill>
                    <a:blip r:embed="rId13"/>
                    <a:stretch>
                      <a:fillRect/>
                    </a:stretch>
                  </pic:blipFill>
                  <pic:spPr>
                    <a:xfrm>
                      <a:off x="0" y="0"/>
                      <a:ext cx="5029200" cy="3398808"/>
                    </a:xfrm>
                    <a:prstGeom prst="rect"/>
                  </pic:spPr>
                </pic:pic>
              </a:graphicData>
            </a:graphic>
          </wp:inline>
        </w:drawing>
      </w:r>
    </w:p>
    <w:p>
      <w:pPr>
        <w:jc w:val="center"/>
      </w:pPr>
      <w:r>
        <w:t>tour_de_taille_histogramme.png</w:t>
      </w:r>
    </w:p>
    <w:p/>
    <w:p>
      <w:r>
        <w:drawing>
          <wp:inline xmlns:a="http://schemas.openxmlformats.org/drawingml/2006/main" xmlns:pic="http://schemas.openxmlformats.org/drawingml/2006/picture">
            <wp:extent cx="5029200" cy="5425869"/>
            <wp:docPr id="6" name="Picture 6"/>
            <wp:cNvGraphicFramePr>
              <a:graphicFrameLocks noChangeAspect="1"/>
            </wp:cNvGraphicFramePr>
            <a:graphic>
              <a:graphicData uri="http://schemas.openxmlformats.org/drawingml/2006/picture">
                <pic:pic>
                  <pic:nvPicPr>
                    <pic:cNvPr id="0" name="obesite_abdominale_donut.png"/>
                    <pic:cNvPicPr/>
                  </pic:nvPicPr>
                  <pic:blipFill>
                    <a:blip r:embed="rId14"/>
                    <a:stretch>
                      <a:fillRect/>
                    </a:stretch>
                  </pic:blipFill>
                  <pic:spPr>
                    <a:xfrm>
                      <a:off x="0" y="0"/>
                      <a:ext cx="5029200" cy="5425869"/>
                    </a:xfrm>
                    <a:prstGeom prst="rect"/>
                  </pic:spPr>
                </pic:pic>
              </a:graphicData>
            </a:graphic>
          </wp:inline>
        </w:drawing>
      </w:r>
    </w:p>
    <w:p>
      <w:pPr>
        <w:jc w:val="center"/>
      </w:pPr>
      <w:r>
        <w:t>obesite_abdominale_donut.png</w:t>
      </w:r>
    </w:p>
    <w:p/>
    <w:p>
      <w:r>
        <w:drawing>
          <wp:inline xmlns:a="http://schemas.openxmlformats.org/drawingml/2006/main" xmlns:pic="http://schemas.openxmlformats.org/drawingml/2006/picture">
            <wp:extent cx="5029200" cy="3502690"/>
            <wp:docPr id="7" name="Picture 7"/>
            <wp:cNvGraphicFramePr>
              <a:graphicFrameLocks noChangeAspect="1"/>
            </wp:cNvGraphicFramePr>
            <a:graphic>
              <a:graphicData uri="http://schemas.openxmlformats.org/drawingml/2006/picture">
                <pic:pic>
                  <pic:nvPicPr>
                    <pic:cNvPr id="0" name="duree_diabete_barres_vert.png"/>
                    <pic:cNvPicPr/>
                  </pic:nvPicPr>
                  <pic:blipFill>
                    <a:blip r:embed="rId15"/>
                    <a:stretch>
                      <a:fillRect/>
                    </a:stretch>
                  </pic:blipFill>
                  <pic:spPr>
                    <a:xfrm>
                      <a:off x="0" y="0"/>
                      <a:ext cx="5029200" cy="3502690"/>
                    </a:xfrm>
                    <a:prstGeom prst="rect"/>
                  </pic:spPr>
                </pic:pic>
              </a:graphicData>
            </a:graphic>
          </wp:inline>
        </w:drawing>
      </w:r>
    </w:p>
    <w:p>
      <w:pPr>
        <w:jc w:val="center"/>
      </w:pPr>
      <w:r>
        <w:t>duree_diabete_barres_vert.png</w:t>
      </w:r>
    </w:p>
    <w:p/>
    <w:p>
      <w:r>
        <w:drawing>
          <wp:inline xmlns:a="http://schemas.openxmlformats.org/drawingml/2006/main" xmlns:pic="http://schemas.openxmlformats.org/drawingml/2006/picture">
            <wp:extent cx="5029200" cy="3461961"/>
            <wp:docPr id="8" name="Picture 8"/>
            <wp:cNvGraphicFramePr>
              <a:graphicFrameLocks noChangeAspect="1"/>
            </wp:cNvGraphicFramePr>
            <a:graphic>
              <a:graphicData uri="http://schemas.openxmlformats.org/drawingml/2006/picture">
                <pic:pic>
                  <pic:nvPicPr>
                    <pic:cNvPr id="0" name="hta_barres_vert.png"/>
                    <pic:cNvPicPr/>
                  </pic:nvPicPr>
                  <pic:blipFill>
                    <a:blip r:embed="rId16"/>
                    <a:stretch>
                      <a:fillRect/>
                    </a:stretch>
                  </pic:blipFill>
                  <pic:spPr>
                    <a:xfrm>
                      <a:off x="0" y="0"/>
                      <a:ext cx="5029200" cy="3461961"/>
                    </a:xfrm>
                    <a:prstGeom prst="rect"/>
                  </pic:spPr>
                </pic:pic>
              </a:graphicData>
            </a:graphic>
          </wp:inline>
        </w:drawing>
      </w:r>
    </w:p>
    <w:p>
      <w:pPr>
        <w:jc w:val="center"/>
      </w:pPr>
      <w:r>
        <w:t>hta_barres_vert.png</w:t>
      </w:r>
    </w:p>
    <w:p/>
    <w:p>
      <w:r>
        <w:drawing>
          <wp:inline xmlns:a="http://schemas.openxmlformats.org/drawingml/2006/main" xmlns:pic="http://schemas.openxmlformats.org/drawingml/2006/picture">
            <wp:extent cx="5029200" cy="3463975"/>
            <wp:docPr id="9" name="Picture 9"/>
            <wp:cNvGraphicFramePr>
              <a:graphicFrameLocks noChangeAspect="1"/>
            </wp:cNvGraphicFramePr>
            <a:graphic>
              <a:graphicData uri="http://schemas.openxmlformats.org/drawingml/2006/picture">
                <pic:pic>
                  <pic:nvPicPr>
                    <pic:cNvPr id="0" name="hta_connue_barres_vert.png"/>
                    <pic:cNvPicPr/>
                  </pic:nvPicPr>
                  <pic:blipFill>
                    <a:blip r:embed="rId17"/>
                    <a:stretch>
                      <a:fillRect/>
                    </a:stretch>
                  </pic:blipFill>
                  <pic:spPr>
                    <a:xfrm>
                      <a:off x="0" y="0"/>
                      <a:ext cx="5029200" cy="3463975"/>
                    </a:xfrm>
                    <a:prstGeom prst="rect"/>
                  </pic:spPr>
                </pic:pic>
              </a:graphicData>
            </a:graphic>
          </wp:inline>
        </w:drawing>
      </w:r>
    </w:p>
    <w:p>
      <w:pPr>
        <w:jc w:val="center"/>
      </w:pPr>
      <w:r>
        <w:t>hta_connue_barres_vert.png</w:t>
      </w:r>
    </w:p>
    <w:p/>
    <w:p>
      <w:r>
        <w:drawing>
          <wp:inline xmlns:a="http://schemas.openxmlformats.org/drawingml/2006/main" xmlns:pic="http://schemas.openxmlformats.org/drawingml/2006/picture">
            <wp:extent cx="5029200" cy="3463975"/>
            <wp:docPr id="10" name="Picture 10"/>
            <wp:cNvGraphicFramePr>
              <a:graphicFrameLocks noChangeAspect="1"/>
            </wp:cNvGraphicFramePr>
            <a:graphic>
              <a:graphicData uri="http://schemas.openxmlformats.org/drawingml/2006/picture">
                <pic:pic>
                  <pic:nvPicPr>
                    <pic:cNvPr id="0" name="hta_controlee_barres_vert.png"/>
                    <pic:cNvPicPr/>
                  </pic:nvPicPr>
                  <pic:blipFill>
                    <a:blip r:embed="rId18"/>
                    <a:stretch>
                      <a:fillRect/>
                    </a:stretch>
                  </pic:blipFill>
                  <pic:spPr>
                    <a:xfrm>
                      <a:off x="0" y="0"/>
                      <a:ext cx="5029200" cy="3463975"/>
                    </a:xfrm>
                    <a:prstGeom prst="rect"/>
                  </pic:spPr>
                </pic:pic>
              </a:graphicData>
            </a:graphic>
          </wp:inline>
        </w:drawing>
      </w:r>
    </w:p>
    <w:p>
      <w:pPr>
        <w:jc w:val="center"/>
      </w:pPr>
      <w:r>
        <w:t>hta_controlee_barres_vert.png</w:t>
      </w:r>
    </w:p>
    <w:p/>
    <w:p>
      <w:r>
        <w:drawing>
          <wp:inline xmlns:a="http://schemas.openxmlformats.org/drawingml/2006/main" xmlns:pic="http://schemas.openxmlformats.org/drawingml/2006/picture">
            <wp:extent cx="5029200" cy="3398808"/>
            <wp:docPr id="11" name="Picture 11"/>
            <wp:cNvGraphicFramePr>
              <a:graphicFrameLocks noChangeAspect="1"/>
            </wp:cNvGraphicFramePr>
            <a:graphic>
              <a:graphicData uri="http://schemas.openxmlformats.org/drawingml/2006/picture">
                <pic:pic>
                  <pic:nvPicPr>
                    <pic:cNvPr id="0" name="hdl_histogramme.png"/>
                    <pic:cNvPicPr/>
                  </pic:nvPicPr>
                  <pic:blipFill>
                    <a:blip r:embed="rId19"/>
                    <a:stretch>
                      <a:fillRect/>
                    </a:stretch>
                  </pic:blipFill>
                  <pic:spPr>
                    <a:xfrm>
                      <a:off x="0" y="0"/>
                      <a:ext cx="5029200" cy="3398808"/>
                    </a:xfrm>
                    <a:prstGeom prst="rect"/>
                  </pic:spPr>
                </pic:pic>
              </a:graphicData>
            </a:graphic>
          </wp:inline>
        </w:drawing>
      </w:r>
    </w:p>
    <w:p>
      <w:pPr>
        <w:jc w:val="center"/>
      </w:pPr>
      <w:r>
        <w:t>hdl_histogramme.png</w:t>
      </w:r>
    </w:p>
    <w:p/>
    <w:p>
      <w:r>
        <w:drawing>
          <wp:inline xmlns:a="http://schemas.openxmlformats.org/drawingml/2006/main" xmlns:pic="http://schemas.openxmlformats.org/drawingml/2006/picture">
            <wp:extent cx="5029200" cy="3398808"/>
            <wp:docPr id="12" name="Picture 12"/>
            <wp:cNvGraphicFramePr>
              <a:graphicFrameLocks noChangeAspect="1"/>
            </wp:cNvGraphicFramePr>
            <a:graphic>
              <a:graphicData uri="http://schemas.openxmlformats.org/drawingml/2006/picture">
                <pic:pic>
                  <pic:nvPicPr>
                    <pic:cNvPr id="0" name="ldl_histogramme.png"/>
                    <pic:cNvPicPr/>
                  </pic:nvPicPr>
                  <pic:blipFill>
                    <a:blip r:embed="rId20"/>
                    <a:stretch>
                      <a:fillRect/>
                    </a:stretch>
                  </pic:blipFill>
                  <pic:spPr>
                    <a:xfrm>
                      <a:off x="0" y="0"/>
                      <a:ext cx="5029200" cy="3398808"/>
                    </a:xfrm>
                    <a:prstGeom prst="rect"/>
                  </pic:spPr>
                </pic:pic>
              </a:graphicData>
            </a:graphic>
          </wp:inline>
        </w:drawing>
      </w:r>
    </w:p>
    <w:p>
      <w:pPr>
        <w:jc w:val="center"/>
      </w:pPr>
      <w:r>
        <w:t>ldl_histogramme.png</w:t>
      </w:r>
    </w:p>
    <w:p/>
    <w:p>
      <w:r>
        <w:drawing>
          <wp:inline xmlns:a="http://schemas.openxmlformats.org/drawingml/2006/main" xmlns:pic="http://schemas.openxmlformats.org/drawingml/2006/picture">
            <wp:extent cx="5029200" cy="3398808"/>
            <wp:docPr id="13" name="Picture 13"/>
            <wp:cNvGraphicFramePr>
              <a:graphicFrameLocks noChangeAspect="1"/>
            </wp:cNvGraphicFramePr>
            <a:graphic>
              <a:graphicData uri="http://schemas.openxmlformats.org/drawingml/2006/picture">
                <pic:pic>
                  <pic:nvPicPr>
                    <pic:cNvPr id="0" name="cholesterol_total_histogramme.png"/>
                    <pic:cNvPicPr/>
                  </pic:nvPicPr>
                  <pic:blipFill>
                    <a:blip r:embed="rId21"/>
                    <a:stretch>
                      <a:fillRect/>
                    </a:stretch>
                  </pic:blipFill>
                  <pic:spPr>
                    <a:xfrm>
                      <a:off x="0" y="0"/>
                      <a:ext cx="5029200" cy="3398808"/>
                    </a:xfrm>
                    <a:prstGeom prst="rect"/>
                  </pic:spPr>
                </pic:pic>
              </a:graphicData>
            </a:graphic>
          </wp:inline>
        </w:drawing>
      </w:r>
    </w:p>
    <w:p>
      <w:pPr>
        <w:jc w:val="center"/>
      </w:pPr>
      <w:r>
        <w:t>cholesterol_total_histogramme.png</w:t>
      </w:r>
    </w:p>
    <w:p/>
    <w:p>
      <w:r>
        <w:drawing>
          <wp:inline xmlns:a="http://schemas.openxmlformats.org/drawingml/2006/main" xmlns:pic="http://schemas.openxmlformats.org/drawingml/2006/picture">
            <wp:extent cx="5029200" cy="3398808"/>
            <wp:docPr id="14" name="Picture 14"/>
            <wp:cNvGraphicFramePr>
              <a:graphicFrameLocks noChangeAspect="1"/>
            </wp:cNvGraphicFramePr>
            <a:graphic>
              <a:graphicData uri="http://schemas.openxmlformats.org/drawingml/2006/picture">
                <pic:pic>
                  <pic:nvPicPr>
                    <pic:cNvPr id="0" name="triglycerides_histogramme.png"/>
                    <pic:cNvPicPr/>
                  </pic:nvPicPr>
                  <pic:blipFill>
                    <a:blip r:embed="rId22"/>
                    <a:stretch>
                      <a:fillRect/>
                    </a:stretch>
                  </pic:blipFill>
                  <pic:spPr>
                    <a:xfrm>
                      <a:off x="0" y="0"/>
                      <a:ext cx="5029200" cy="3398808"/>
                    </a:xfrm>
                    <a:prstGeom prst="rect"/>
                  </pic:spPr>
                </pic:pic>
              </a:graphicData>
            </a:graphic>
          </wp:inline>
        </w:drawing>
      </w:r>
    </w:p>
    <w:p>
      <w:pPr>
        <w:jc w:val="center"/>
      </w:pPr>
      <w:r>
        <w:t>triglycerides_histogramme.png</w:t>
      </w:r>
    </w:p>
    <w:p/>
    <w:p>
      <w:r>
        <w:drawing>
          <wp:inline xmlns:a="http://schemas.openxmlformats.org/drawingml/2006/main" xmlns:pic="http://schemas.openxmlformats.org/drawingml/2006/picture">
            <wp:extent cx="5029200" cy="3438123"/>
            <wp:docPr id="15" name="Picture 15"/>
            <wp:cNvGraphicFramePr>
              <a:graphicFrameLocks noChangeAspect="1"/>
            </wp:cNvGraphicFramePr>
            <a:graphic>
              <a:graphicData uri="http://schemas.openxmlformats.org/drawingml/2006/picture">
                <pic:pic>
                  <pic:nvPicPr>
                    <pic:cNvPr id="0" name="homa_ir_histogramme.png"/>
                    <pic:cNvPicPr/>
                  </pic:nvPicPr>
                  <pic:blipFill>
                    <a:blip r:embed="rId23"/>
                    <a:stretch>
                      <a:fillRect/>
                    </a:stretch>
                  </pic:blipFill>
                  <pic:spPr>
                    <a:xfrm>
                      <a:off x="0" y="0"/>
                      <a:ext cx="5029200" cy="3438123"/>
                    </a:xfrm>
                    <a:prstGeom prst="rect"/>
                  </pic:spPr>
                </pic:pic>
              </a:graphicData>
            </a:graphic>
          </wp:inline>
        </w:drawing>
      </w:r>
    </w:p>
    <w:p>
      <w:pPr>
        <w:jc w:val="center"/>
      </w:pPr>
      <w:r>
        <w:t>homa_ir_histogramme.png</w:t>
      </w:r>
    </w:p>
    <w:p/>
    <w:p>
      <w:r>
        <w:drawing>
          <wp:inline xmlns:a="http://schemas.openxmlformats.org/drawingml/2006/main" xmlns:pic="http://schemas.openxmlformats.org/drawingml/2006/picture">
            <wp:extent cx="5029200" cy="3398808"/>
            <wp:docPr id="16" name="Picture 16"/>
            <wp:cNvGraphicFramePr>
              <a:graphicFrameLocks noChangeAspect="1"/>
            </wp:cNvGraphicFramePr>
            <a:graphic>
              <a:graphicData uri="http://schemas.openxmlformats.org/drawingml/2006/picture">
                <pic:pic>
                  <pic:nvPicPr>
                    <pic:cNvPr id="0" name="homa_s_histogramme.png"/>
                    <pic:cNvPicPr/>
                  </pic:nvPicPr>
                  <pic:blipFill>
                    <a:blip r:embed="rId24"/>
                    <a:stretch>
                      <a:fillRect/>
                    </a:stretch>
                  </pic:blipFill>
                  <pic:spPr>
                    <a:xfrm>
                      <a:off x="0" y="0"/>
                      <a:ext cx="5029200" cy="3398808"/>
                    </a:xfrm>
                    <a:prstGeom prst="rect"/>
                  </pic:spPr>
                </pic:pic>
              </a:graphicData>
            </a:graphic>
          </wp:inline>
        </w:drawing>
      </w:r>
    </w:p>
    <w:p>
      <w:pPr>
        <w:jc w:val="center"/>
      </w:pPr>
      <w:r>
        <w:t>homa_s_histogramme.png</w:t>
      </w:r>
    </w:p>
    <w:p/>
    <w:p>
      <w:r>
        <w:drawing>
          <wp:inline xmlns:a="http://schemas.openxmlformats.org/drawingml/2006/main" xmlns:pic="http://schemas.openxmlformats.org/drawingml/2006/picture">
            <wp:extent cx="5029200" cy="3461961"/>
            <wp:docPr id="17" name="Picture 17"/>
            <wp:cNvGraphicFramePr>
              <a:graphicFrameLocks noChangeAspect="1"/>
            </wp:cNvGraphicFramePr>
            <a:graphic>
              <a:graphicData uri="http://schemas.openxmlformats.org/drawingml/2006/picture">
                <pic:pic>
                  <pic:nvPicPr>
                    <pic:cNvPr id="0" name="insulinoresistance_barres_vert.png"/>
                    <pic:cNvPicPr/>
                  </pic:nvPicPr>
                  <pic:blipFill>
                    <a:blip r:embed="rId25"/>
                    <a:stretch>
                      <a:fillRect/>
                    </a:stretch>
                  </pic:blipFill>
                  <pic:spPr>
                    <a:xfrm>
                      <a:off x="0" y="0"/>
                      <a:ext cx="5029200" cy="3461961"/>
                    </a:xfrm>
                    <a:prstGeom prst="rect"/>
                  </pic:spPr>
                </pic:pic>
              </a:graphicData>
            </a:graphic>
          </wp:inline>
        </w:drawing>
      </w:r>
    </w:p>
    <w:p>
      <w:pPr>
        <w:jc w:val="center"/>
      </w:pPr>
      <w:r>
        <w:t>insulinoresistance_barres_vert.png</w:t>
      </w:r>
    </w:p>
    <w:p/>
    <w:p>
      <w:r>
        <w:br w:type="page"/>
      </w:r>
    </w:p>
    <w:p>
      <w:pPr>
        <w:pStyle w:val="Heading1"/>
      </w:pPr>
      <w:r>
        <w:t>4. Interprétation</w:t>
      </w:r>
    </w:p>
    <w:p>
      <w:pPr>
        <w:pStyle w:val="Heading2"/>
      </w:pPr>
      <w:r>
        <w:t>id</w:t>
      </w:r>
    </w:p>
    <w:p>
      <w:r>
        <w:t>Distribution approximativement symétrique.</w:t>
      </w:r>
    </w:p>
    <w:p>
      <w:pPr>
        <w:pStyle w:val="Heading2"/>
      </w:pPr>
      <w:r>
        <w:t>age</w:t>
      </w:r>
    </w:p>
    <w:p>
      <w:r>
        <w:t>Distribution approximativement symétrique. 1 valeur(s) aberrante(s) détectée(s).</w:t>
      </w:r>
    </w:p>
    <w:p>
      <w:pPr>
        <w:pStyle w:val="Heading2"/>
      </w:pPr>
      <w:r>
        <w:t>imc</w:t>
      </w:r>
    </w:p>
    <w:p>
      <w:r>
        <w:t>Distribution approximativement symétrique. 11 valeur(s) aberrante(s) détectée(s).</w:t>
      </w:r>
    </w:p>
    <w:p>
      <w:pPr>
        <w:pStyle w:val="Heading2"/>
      </w:pPr>
      <w:r>
        <w:t>tour_de_taille</w:t>
      </w:r>
    </w:p>
    <w:p>
      <w:r>
        <w:t>Distribution approximativement symétrique. 7 valeur(s) aberrante(s) détectée(s).</w:t>
      </w:r>
    </w:p>
    <w:p>
      <w:pPr>
        <w:pStyle w:val="Heading2"/>
      </w:pPr>
      <w:r>
        <w:t>duree_diabete</w:t>
      </w:r>
    </w:p>
    <w:p>
      <w:r>
        <w:t>Distribution asymétrique positive (queue longue vers les grandes valeurs). 4 valeur(s) aberrante(s) détectée(s).</w:t>
      </w:r>
    </w:p>
    <w:p>
      <w:pPr>
        <w:pStyle w:val="Heading2"/>
      </w:pPr>
      <w:r>
        <w:t>hdl</w:t>
      </w:r>
    </w:p>
    <w:p>
      <w:r>
        <w:t>Distribution approximativement symétrique.</w:t>
      </w:r>
    </w:p>
    <w:p>
      <w:pPr>
        <w:pStyle w:val="Heading2"/>
      </w:pPr>
      <w:r>
        <w:t>ldl</w:t>
      </w:r>
    </w:p>
    <w:p>
      <w:r>
        <w:t>Distribution approximativement symétrique. 19 valeur(s) aberrante(s) détectée(s).</w:t>
      </w:r>
    </w:p>
    <w:p>
      <w:pPr>
        <w:pStyle w:val="Heading2"/>
      </w:pPr>
      <w:r>
        <w:t>cholesterol_total</w:t>
      </w:r>
    </w:p>
    <w:p>
      <w:r>
        <w:t>Distribution approximativement symétrique. 13 valeur(s) aberrante(s) détectée(s).</w:t>
      </w:r>
    </w:p>
    <w:p>
      <w:pPr>
        <w:pStyle w:val="Heading2"/>
      </w:pPr>
      <w:r>
        <w:t>triglycerides</w:t>
      </w:r>
    </w:p>
    <w:p>
      <w:r>
        <w:t>Distribution approximativement symétrique. 1 valeur(s) aberrante(s) détectée(s).</w:t>
      </w:r>
    </w:p>
    <w:p>
      <w:pPr>
        <w:pStyle w:val="Heading2"/>
      </w:pPr>
      <w:r>
        <w:t>homa_ir</w:t>
      </w:r>
    </w:p>
    <w:p>
      <w:r>
        <w:t>Distribution approximativement symétrique. 9 valeur(s) aberrante(s) détectée(s).</w:t>
      </w:r>
    </w:p>
    <w:p>
      <w:pPr>
        <w:pStyle w:val="Heading2"/>
      </w:pPr>
      <w:r>
        <w:t>homa_s</w:t>
      </w:r>
    </w:p>
    <w:p>
      <w:r>
        <w:t>Distribution asymétrique positive (queue longue vers les grandes valeurs). 22 valeur(s) aberrante(s) détectée(s).</w:t>
      </w:r>
    </w:p>
    <w:p>
      <w:r>
        <w:t>La prévalence de l'HTA chez les diabétiques de type 2 à Bukavu est de 65,3% — un chiffre alarmant. Plus de la moitié des hypertendus (51,6%) ignoraient leur statut, et parmi les hypertendus connus, seulement 19,6% avaient une pression artérielle contrôlée. L'âge avancé (≥60 ans) et l'obésité abdominale (tour de taille &gt;95 cm) sont les deux prédicteurs indépendants de l'HTA dans cette population. Ces résultats soulignent l'urgence d'un dépistage systématique de l'HTA chez tout patient diabétique et d'une prise en charge intégrée des deux pathologies.</w:t>
      </w:r>
    </w:p>
    <w:p>
      <w:r>
        <w:br w:type="page"/>
      </w:r>
    </w:p>
    <w:p>
      <w:pPr>
        <w:pStyle w:val="Heading1"/>
      </w:pPr>
      <w:r>
        <w:t>5. Annexes</w:t>
      </w:r>
    </w:p>
    <w:p>
      <w:r>
        <w:t>Les données complètes nettoyées sont disponibles dans le fichier Excel joint.</w:t>
      </w:r>
    </w:p>
    <w:p/>
    <w:p>
      <w:r>
        <w:t>Organon Data Solutions — Bukavu</w:t>
      </w:r>
    </w:p>
    <w:p>
      <w:r>
        <w:t>Rapport généré le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