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rPr>
        <w:t>Aspects épidémiologiques, étiologiques, cliniques et thérapeutiques du décollement de la rétine à la clinique ophtalmologique CELPA Bukavu — 2018 à 2024</w:t>
      </w:r>
    </w:p>
    <w:p>
      <w:r>
        <w:t>Auteur : KACHUNGA MULUMBILWA Daniel — Analyse : Organon Data Solutions</w:t>
      </w:r>
    </w:p>
    <w:p>
      <w:r>
        <w:t>Date   : 2026</w:t>
      </w:r>
    </w:p>
    <w:p>
      <w:r>
        <w:t>Organon Data Solutions — Bukavu</w:t>
      </w:r>
    </w:p>
    <w:p>
      <w:r>
        <w:br w:type="page"/>
      </w:r>
    </w:p>
    <w:p>
      <w:pPr>
        <w:pStyle w:val="Heading1"/>
      </w:pPr>
      <w:r>
        <w:t>1. Contexte et objectifs</w:t>
      </w:r>
    </w:p>
    <w:p>
      <w:pPr>
        <w:pStyle w:val="Heading2"/>
      </w:pPr>
      <w:r>
        <w:t>Contexte</w:t>
      </w:r>
    </w:p>
    <w:p>
      <w:r>
        <w:t>Le décollement de la rétine (DR) est une urgence ophtalmologique pouvant conduire à la cécité définitive en l'absence de prise en charge rapide. En République Démocratique du Congo, les données épidémiologiques sur cette pathologie demeurent rares. Cette étude a été menée à la clinique ophtalmologique CELPA de Bukavu sur une période de sept ans, du 1er janvier 2018 au 31 décembre 2024.</w:t>
      </w:r>
    </w:p>
    <w:p>
      <w:pPr>
        <w:pStyle w:val="Heading2"/>
      </w:pPr>
      <w:r>
        <w:t>Objectifs</w:t>
      </w:r>
    </w:p>
    <w:p>
      <w:r>
        <w:t>Décrire les aspects épidémiologiques, étiologiques, cliniques et thérapeutiques du décollement de la rétine dans notre milieu. Déterminer la fréquence, les facteurs de risque, les moyens diagnostiques disponibles et les modalités de prise en charge.</w:t>
      </w:r>
    </w:p>
    <w:p>
      <w:pPr>
        <w:pStyle w:val="Heading2"/>
      </w:pPr>
      <w:r>
        <w:t>Population cible</w:t>
      </w:r>
    </w:p>
    <w:p>
      <w:r>
        <w:t>49 patients diagnostiqués avec un décollement de la rétine à la clinique ophtalmologique CELPA de Bukavu entre 2018 et 2024. Étude rétrospective, descriptive et analytique.</w:t>
      </w:r>
    </w:p>
    <w:p>
      <w:r>
        <w:br w:type="page"/>
      </w:r>
    </w:p>
    <w:p>
      <w:pPr>
        <w:pStyle w:val="Heading1"/>
      </w:pPr>
      <w:r>
        <w:t>2. Méthodologie</w:t>
      </w:r>
    </w:p>
    <w:p>
      <w:pPr>
        <w:pStyle w:val="Heading2"/>
      </w:pPr>
      <w:r>
        <w:t>Source des données</w:t>
      </w:r>
    </w:p>
    <w:p>
      <w:r>
        <w:t>Dossiers médicaux de la clinique ophtalmologique CELPA Bukavu. Données collectées via Kobocollect et analysées par Organon Data Solutions.</w:t>
      </w:r>
    </w:p>
    <w:p>
      <w:pPr>
        <w:pStyle w:val="Heading2"/>
      </w:pPr>
      <w:r>
        <w:t>Traitement des données</w:t>
      </w:r>
    </w:p>
    <w:tbl>
      <w:tblPr>
        <w:tblStyle w:val="TableGrid"/>
        <w:tblW w:type="auto" w:w="0"/>
        <w:tblLook w:firstColumn="1" w:firstRow="1" w:lastColumn="0" w:lastRow="0" w:noHBand="0" w:noVBand="1" w:val="04A0"/>
      </w:tblPr>
      <w:tblGrid>
        <w:gridCol w:w="4320"/>
        <w:gridCol w:w="4320"/>
      </w:tblGrid>
      <w:tr>
        <w:tc>
          <w:tcPr>
            <w:tcW w:type="dxa" w:w="4320"/>
          </w:tcPr>
          <w:p>
            <w:r>
              <w:t>Indicateur</w:t>
            </w:r>
          </w:p>
        </w:tc>
        <w:tc>
          <w:tcPr>
            <w:tcW w:type="dxa" w:w="4320"/>
          </w:tcPr>
          <w:p>
            <w:r>
              <w:t>Valeur</w:t>
            </w:r>
          </w:p>
        </w:tc>
      </w:tr>
      <w:tr>
        <w:tc>
          <w:tcPr>
            <w:tcW w:type="dxa" w:w="4320"/>
          </w:tcPr>
          <w:p>
            <w:r>
              <w:t>Lignes avant</w:t>
            </w:r>
          </w:p>
        </w:tc>
        <w:tc>
          <w:tcPr>
            <w:tcW w:type="dxa" w:w="4320"/>
          </w:tcPr>
          <w:p>
            <w:r>
              <w:t>49</w:t>
            </w:r>
          </w:p>
        </w:tc>
      </w:tr>
      <w:tr>
        <w:tc>
          <w:tcPr>
            <w:tcW w:type="dxa" w:w="4320"/>
          </w:tcPr>
          <w:p>
            <w:r>
              <w:t>Lignes après</w:t>
            </w:r>
          </w:p>
        </w:tc>
        <w:tc>
          <w:tcPr>
            <w:tcW w:type="dxa" w:w="4320"/>
          </w:tcPr>
          <w:p>
            <w:r>
              <w:t>49</w:t>
            </w:r>
          </w:p>
        </w:tc>
      </w:tr>
      <w:tr>
        <w:tc>
          <w:tcPr>
            <w:tcW w:type="dxa" w:w="4320"/>
          </w:tcPr>
          <w:p>
            <w:r>
              <w:t>Doublons supprimés</w:t>
            </w:r>
          </w:p>
        </w:tc>
        <w:tc>
          <w:tcPr>
            <w:tcW w:type="dxa" w:w="4320"/>
          </w:tcPr>
          <w:p>
            <w:r>
              <w:t>0</w:t>
            </w:r>
          </w:p>
        </w:tc>
      </w:tr>
      <w:tr>
        <w:tc>
          <w:tcPr>
            <w:tcW w:type="dxa" w:w="4320"/>
          </w:tcPr>
          <w:p>
            <w:r>
              <w:t>Lignes vides supprimées</w:t>
            </w:r>
          </w:p>
        </w:tc>
        <w:tc>
          <w:tcPr>
            <w:tcW w:type="dxa" w:w="4320"/>
          </w:tcPr>
          <w:p>
            <w:r>
              <w:t>0</w:t>
            </w:r>
          </w:p>
        </w:tc>
      </w:tr>
    </w:tbl>
    <w:p>
      <w:r>
        <w:br w:type="page"/>
      </w:r>
    </w:p>
    <w:p>
      <w:pPr>
        <w:pStyle w:val="Heading1"/>
      </w:pPr>
      <w:r>
        <w:t>3. Résultats</w:t>
      </w:r>
    </w:p>
    <w:p>
      <w:pPr>
        <w:pStyle w:val="Heading2"/>
      </w:pPr>
      <w:r>
        <w:t>3.1 Statistiques descriptives — Variables numériques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Variable</w:t>
            </w:r>
          </w:p>
        </w:tc>
        <w:tc>
          <w:tcPr>
            <w:tcW w:type="dxa" w:w="1080"/>
          </w:tcPr>
          <w:p>
            <w:r>
              <w:t>N</w:t>
            </w:r>
          </w:p>
        </w:tc>
        <w:tc>
          <w:tcPr>
            <w:tcW w:type="dxa" w:w="1080"/>
          </w:tcPr>
          <w:p>
            <w:r>
              <w:t>Moyenne</w:t>
            </w:r>
          </w:p>
        </w:tc>
        <w:tc>
          <w:tcPr>
            <w:tcW w:type="dxa" w:w="1080"/>
          </w:tcPr>
          <w:p>
            <w:r>
              <w:t>Médiane</w:t>
            </w:r>
          </w:p>
        </w:tc>
        <w:tc>
          <w:tcPr>
            <w:tcW w:type="dxa" w:w="1080"/>
          </w:tcPr>
          <w:p>
            <w:r>
              <w:t>Éc.-type</w:t>
            </w:r>
          </w:p>
        </w:tc>
        <w:tc>
          <w:tcPr>
            <w:tcW w:type="dxa" w:w="1080"/>
          </w:tcPr>
          <w:p>
            <w:r>
              <w:t>Min</w:t>
            </w:r>
          </w:p>
        </w:tc>
        <w:tc>
          <w:tcPr>
            <w:tcW w:type="dxa" w:w="1080"/>
          </w:tcPr>
          <w:p>
            <w:r>
              <w:t>Max</w:t>
            </w:r>
          </w:p>
        </w:tc>
        <w:tc>
          <w:tcPr>
            <w:tcW w:type="dxa" w:w="1080"/>
          </w:tcPr>
          <w:p>
            <w:r>
              <w:t>Outliers</w:t>
            </w:r>
          </w:p>
        </w:tc>
      </w:tr>
      <w:tr>
        <w:tc>
          <w:tcPr>
            <w:tcW w:type="dxa" w:w="1080"/>
          </w:tcPr>
          <w:p>
            <w:r>
              <w:t>id</w:t>
            </w:r>
          </w:p>
        </w:tc>
        <w:tc>
          <w:tcPr>
            <w:tcW w:type="dxa" w:w="1080"/>
          </w:tcPr>
          <w:p>
            <w:r>
              <w:t>49</w:t>
            </w:r>
          </w:p>
        </w:tc>
        <w:tc>
          <w:tcPr>
            <w:tcW w:type="dxa" w:w="1080"/>
          </w:tcPr>
          <w:p>
            <w:r>
              <w:t>25.0</w:t>
            </w:r>
          </w:p>
        </w:tc>
        <w:tc>
          <w:tcPr>
            <w:tcW w:type="dxa" w:w="1080"/>
          </w:tcPr>
          <w:p>
            <w:r>
              <w:t>25.0</w:t>
            </w:r>
          </w:p>
        </w:tc>
        <w:tc>
          <w:tcPr>
            <w:tcW w:type="dxa" w:w="1080"/>
          </w:tcPr>
          <w:p>
            <w:r>
              <w:t>14.289</w:t>
            </w:r>
          </w:p>
        </w:tc>
        <w:tc>
          <w:tcPr>
            <w:tcW w:type="dxa" w:w="1080"/>
          </w:tcPr>
          <w:p>
            <w:r>
              <w:t>1</w:t>
            </w:r>
          </w:p>
        </w:tc>
        <w:tc>
          <w:tcPr>
            <w:tcW w:type="dxa" w:w="1080"/>
          </w:tcPr>
          <w:p>
            <w:r>
              <w:t>49</w:t>
            </w:r>
          </w:p>
        </w:tc>
        <w:tc>
          <w:tcPr>
            <w:tcW w:type="dxa" w:w="1080"/>
          </w:tcPr>
          <w:p>
            <w:r>
              <w:t>0</w:t>
            </w:r>
          </w:p>
        </w:tc>
      </w:tr>
      <w:tr>
        <w:tc>
          <w:tcPr>
            <w:tcW w:type="dxa" w:w="1080"/>
          </w:tcPr>
          <w:p>
            <w:r>
              <w:t>age</w:t>
            </w:r>
          </w:p>
        </w:tc>
        <w:tc>
          <w:tcPr>
            <w:tcW w:type="dxa" w:w="1080"/>
          </w:tcPr>
          <w:p>
            <w:r>
              <w:t>49</w:t>
            </w:r>
          </w:p>
        </w:tc>
        <w:tc>
          <w:tcPr>
            <w:tcW w:type="dxa" w:w="1080"/>
          </w:tcPr>
          <w:p>
            <w:r>
              <w:t>33.367</w:t>
            </w:r>
          </w:p>
        </w:tc>
        <w:tc>
          <w:tcPr>
            <w:tcW w:type="dxa" w:w="1080"/>
          </w:tcPr>
          <w:p>
            <w:r>
              <w:t>33.0</w:t>
            </w:r>
          </w:p>
        </w:tc>
        <w:tc>
          <w:tcPr>
            <w:tcW w:type="dxa" w:w="1080"/>
          </w:tcPr>
          <w:p>
            <w:r>
              <w:t>15.841</w:t>
            </w:r>
          </w:p>
        </w:tc>
        <w:tc>
          <w:tcPr>
            <w:tcW w:type="dxa" w:w="1080"/>
          </w:tcPr>
          <w:p>
            <w:r>
              <w:t>6</w:t>
            </w:r>
          </w:p>
        </w:tc>
        <w:tc>
          <w:tcPr>
            <w:tcW w:type="dxa" w:w="1080"/>
          </w:tcPr>
          <w:p>
            <w:r>
              <w:t>60</w:t>
            </w:r>
          </w:p>
        </w:tc>
        <w:tc>
          <w:tcPr>
            <w:tcW w:type="dxa" w:w="1080"/>
          </w:tcPr>
          <w:p>
            <w:r>
              <w:t>0</w:t>
            </w:r>
          </w:p>
        </w:tc>
      </w:tr>
    </w:tbl>
    <w:p>
      <w:pPr>
        <w:pStyle w:val="Heading2"/>
      </w:pPr>
      <w:r>
        <w:t>3.2 Statistiques descriptives — Variables catégorielles</w:t>
      </w:r>
    </w:p>
    <w:p>
      <w:r>
        <w:t>Variable : tranche_age</w:t>
      </w:r>
    </w:p>
    <w:tbl>
      <w:tblPr>
        <w:tblStyle w:val="TableGrid"/>
        <w:tblW w:type="auto" w:w="0"/>
        <w:tblLook w:firstColumn="1" w:firstRow="1" w:lastColumn="0" w:lastRow="0" w:noHBand="0" w:noVBand="1" w:val="04A0"/>
      </w:tblPr>
      <w:tblGrid>
        <w:gridCol w:w="2880"/>
        <w:gridCol w:w="2880"/>
        <w:gridCol w:w="2880"/>
      </w:tblGrid>
      <w:tr>
        <w:tc>
          <w:tcPr>
            <w:tcW w:type="dxa" w:w="2880"/>
          </w:tcPr>
          <w:p>
            <w:r>
              <w:t>Modalité</w:t>
            </w:r>
          </w:p>
        </w:tc>
        <w:tc>
          <w:tcPr>
            <w:tcW w:type="dxa" w:w="2880"/>
          </w:tcPr>
          <w:p>
            <w:r>
              <w:t>Effectif</w:t>
            </w:r>
          </w:p>
        </w:tc>
        <w:tc>
          <w:tcPr>
            <w:tcW w:type="dxa" w:w="2880"/>
          </w:tcPr>
          <w:p>
            <w:r>
              <w:t>Pourcentage</w:t>
            </w:r>
          </w:p>
        </w:tc>
      </w:tr>
      <w:tr>
        <w:tc>
          <w:tcPr>
            <w:tcW w:type="dxa" w:w="2880"/>
          </w:tcPr>
          <w:p>
            <w:r>
              <w:t>16-30</w:t>
            </w:r>
          </w:p>
        </w:tc>
        <w:tc>
          <w:tcPr>
            <w:tcW w:type="dxa" w:w="2880"/>
          </w:tcPr>
          <w:p>
            <w:r>
              <w:t>16</w:t>
            </w:r>
          </w:p>
        </w:tc>
        <w:tc>
          <w:tcPr>
            <w:tcW w:type="dxa" w:w="2880"/>
          </w:tcPr>
          <w:p>
            <w:r>
              <w:t>32.7%</w:t>
            </w:r>
          </w:p>
        </w:tc>
      </w:tr>
      <w:tr>
        <w:tc>
          <w:tcPr>
            <w:tcW w:type="dxa" w:w="2880"/>
          </w:tcPr>
          <w:p>
            <w:r>
              <w:t>&gt;45</w:t>
            </w:r>
          </w:p>
        </w:tc>
        <w:tc>
          <w:tcPr>
            <w:tcW w:type="dxa" w:w="2880"/>
          </w:tcPr>
          <w:p>
            <w:r>
              <w:t>14</w:t>
            </w:r>
          </w:p>
        </w:tc>
        <w:tc>
          <w:tcPr>
            <w:tcW w:type="dxa" w:w="2880"/>
          </w:tcPr>
          <w:p>
            <w:r>
              <w:t>28.6%</w:t>
            </w:r>
          </w:p>
        </w:tc>
      </w:tr>
      <w:tr>
        <w:tc>
          <w:tcPr>
            <w:tcW w:type="dxa" w:w="2880"/>
          </w:tcPr>
          <w:p>
            <w:r>
              <w:t>31-45</w:t>
            </w:r>
          </w:p>
        </w:tc>
        <w:tc>
          <w:tcPr>
            <w:tcW w:type="dxa" w:w="2880"/>
          </w:tcPr>
          <w:p>
            <w:r>
              <w:t>12</w:t>
            </w:r>
          </w:p>
        </w:tc>
        <w:tc>
          <w:tcPr>
            <w:tcW w:type="dxa" w:w="2880"/>
          </w:tcPr>
          <w:p>
            <w:r>
              <w:t>24.5%</w:t>
            </w:r>
          </w:p>
        </w:tc>
      </w:tr>
      <w:tr>
        <w:tc>
          <w:tcPr>
            <w:tcW w:type="dxa" w:w="2880"/>
          </w:tcPr>
          <w:p>
            <w:r>
              <w:t>&lt;=15</w:t>
            </w:r>
          </w:p>
        </w:tc>
        <w:tc>
          <w:tcPr>
            <w:tcW w:type="dxa" w:w="2880"/>
          </w:tcPr>
          <w:p>
            <w:r>
              <w:t>7</w:t>
            </w:r>
          </w:p>
        </w:tc>
        <w:tc>
          <w:tcPr>
            <w:tcW w:type="dxa" w:w="2880"/>
          </w:tcPr>
          <w:p>
            <w:r>
              <w:t>14.3%</w:t>
            </w:r>
          </w:p>
        </w:tc>
      </w:tr>
    </w:tbl>
    <w:p>
      <w:r>
        <w:t>Variable : sexe</w:t>
      </w:r>
    </w:p>
    <w:tbl>
      <w:tblPr>
        <w:tblStyle w:val="TableGrid"/>
        <w:tblW w:type="auto" w:w="0"/>
        <w:tblLook w:firstColumn="1" w:firstRow="1" w:lastColumn="0" w:lastRow="0" w:noHBand="0" w:noVBand="1" w:val="04A0"/>
      </w:tblPr>
      <w:tblGrid>
        <w:gridCol w:w="2880"/>
        <w:gridCol w:w="2880"/>
        <w:gridCol w:w="2880"/>
      </w:tblGrid>
      <w:tr>
        <w:tc>
          <w:tcPr>
            <w:tcW w:type="dxa" w:w="2880"/>
          </w:tcPr>
          <w:p>
            <w:r>
              <w:t>Modalité</w:t>
            </w:r>
          </w:p>
        </w:tc>
        <w:tc>
          <w:tcPr>
            <w:tcW w:type="dxa" w:w="2880"/>
          </w:tcPr>
          <w:p>
            <w:r>
              <w:t>Effectif</w:t>
            </w:r>
          </w:p>
        </w:tc>
        <w:tc>
          <w:tcPr>
            <w:tcW w:type="dxa" w:w="2880"/>
          </w:tcPr>
          <w:p>
            <w:r>
              <w:t>Pourcentage</w:t>
            </w:r>
          </w:p>
        </w:tc>
      </w:tr>
      <w:tr>
        <w:tc>
          <w:tcPr>
            <w:tcW w:type="dxa" w:w="2880"/>
          </w:tcPr>
          <w:p>
            <w:r>
              <w:t>M</w:t>
            </w:r>
          </w:p>
        </w:tc>
        <w:tc>
          <w:tcPr>
            <w:tcW w:type="dxa" w:w="2880"/>
          </w:tcPr>
          <w:p>
            <w:r>
              <w:t>36</w:t>
            </w:r>
          </w:p>
        </w:tc>
        <w:tc>
          <w:tcPr>
            <w:tcW w:type="dxa" w:w="2880"/>
          </w:tcPr>
          <w:p>
            <w:r>
              <w:t>73.5%</w:t>
            </w:r>
          </w:p>
        </w:tc>
      </w:tr>
      <w:tr>
        <w:tc>
          <w:tcPr>
            <w:tcW w:type="dxa" w:w="2880"/>
          </w:tcPr>
          <w:p>
            <w:r>
              <w:t>F</w:t>
            </w:r>
          </w:p>
        </w:tc>
        <w:tc>
          <w:tcPr>
            <w:tcW w:type="dxa" w:w="2880"/>
          </w:tcPr>
          <w:p>
            <w:r>
              <w:t>13</w:t>
            </w:r>
          </w:p>
        </w:tc>
        <w:tc>
          <w:tcPr>
            <w:tcW w:type="dxa" w:w="2880"/>
          </w:tcPr>
          <w:p>
            <w:r>
              <w:t>26.5%</w:t>
            </w:r>
          </w:p>
        </w:tc>
      </w:tr>
    </w:tbl>
    <w:p>
      <w:r>
        <w:t>Variable : profession</w:t>
      </w:r>
    </w:p>
    <w:tbl>
      <w:tblPr>
        <w:tblStyle w:val="TableGrid"/>
        <w:tblW w:type="auto" w:w="0"/>
        <w:tblLook w:firstColumn="1" w:firstRow="1" w:lastColumn="0" w:lastRow="0" w:noHBand="0" w:noVBand="1" w:val="04A0"/>
      </w:tblPr>
      <w:tblGrid>
        <w:gridCol w:w="2880"/>
        <w:gridCol w:w="2880"/>
        <w:gridCol w:w="2880"/>
      </w:tblGrid>
      <w:tr>
        <w:tc>
          <w:tcPr>
            <w:tcW w:type="dxa" w:w="2880"/>
          </w:tcPr>
          <w:p>
            <w:r>
              <w:t>Modalité</w:t>
            </w:r>
          </w:p>
        </w:tc>
        <w:tc>
          <w:tcPr>
            <w:tcW w:type="dxa" w:w="2880"/>
          </w:tcPr>
          <w:p>
            <w:r>
              <w:t>Effectif</w:t>
            </w:r>
          </w:p>
        </w:tc>
        <w:tc>
          <w:tcPr>
            <w:tcW w:type="dxa" w:w="2880"/>
          </w:tcPr>
          <w:p>
            <w:r>
              <w:t>Pourcentage</w:t>
            </w:r>
          </w:p>
        </w:tc>
      </w:tr>
      <w:tr>
        <w:tc>
          <w:tcPr>
            <w:tcW w:type="dxa" w:w="2880"/>
          </w:tcPr>
          <w:p>
            <w:r>
              <w:t>Etudiant</w:t>
            </w:r>
          </w:p>
        </w:tc>
        <w:tc>
          <w:tcPr>
            <w:tcW w:type="dxa" w:w="2880"/>
          </w:tcPr>
          <w:p>
            <w:r>
              <w:t>15</w:t>
            </w:r>
          </w:p>
        </w:tc>
        <w:tc>
          <w:tcPr>
            <w:tcW w:type="dxa" w:w="2880"/>
          </w:tcPr>
          <w:p>
            <w:r>
              <w:t>30.6%</w:t>
            </w:r>
          </w:p>
        </w:tc>
      </w:tr>
      <w:tr>
        <w:tc>
          <w:tcPr>
            <w:tcW w:type="dxa" w:w="2880"/>
          </w:tcPr>
          <w:p>
            <w:r>
              <w:t>Commercant</w:t>
            </w:r>
          </w:p>
        </w:tc>
        <w:tc>
          <w:tcPr>
            <w:tcW w:type="dxa" w:w="2880"/>
          </w:tcPr>
          <w:p>
            <w:r>
              <w:t>12</w:t>
            </w:r>
          </w:p>
        </w:tc>
        <w:tc>
          <w:tcPr>
            <w:tcW w:type="dxa" w:w="2880"/>
          </w:tcPr>
          <w:p>
            <w:r>
              <w:t>24.5%</w:t>
            </w:r>
          </w:p>
        </w:tc>
      </w:tr>
      <w:tr>
        <w:tc>
          <w:tcPr>
            <w:tcW w:type="dxa" w:w="2880"/>
          </w:tcPr>
          <w:p>
            <w:r>
              <w:t>Sans profession</w:t>
            </w:r>
          </w:p>
        </w:tc>
        <w:tc>
          <w:tcPr>
            <w:tcW w:type="dxa" w:w="2880"/>
          </w:tcPr>
          <w:p>
            <w:r>
              <w:t>12</w:t>
            </w:r>
          </w:p>
        </w:tc>
        <w:tc>
          <w:tcPr>
            <w:tcW w:type="dxa" w:w="2880"/>
          </w:tcPr>
          <w:p>
            <w:r>
              <w:t>24.5%</w:t>
            </w:r>
          </w:p>
        </w:tc>
      </w:tr>
      <w:tr>
        <w:tc>
          <w:tcPr>
            <w:tcW w:type="dxa" w:w="2880"/>
          </w:tcPr>
          <w:p>
            <w:r>
              <w:t>Agent de l'Etat</w:t>
            </w:r>
          </w:p>
        </w:tc>
        <w:tc>
          <w:tcPr>
            <w:tcW w:type="dxa" w:w="2880"/>
          </w:tcPr>
          <w:p>
            <w:r>
              <w:t>10</w:t>
            </w:r>
          </w:p>
        </w:tc>
        <w:tc>
          <w:tcPr>
            <w:tcW w:type="dxa" w:w="2880"/>
          </w:tcPr>
          <w:p>
            <w:r>
              <w:t>20.4%</w:t>
            </w:r>
          </w:p>
        </w:tc>
      </w:tr>
    </w:tbl>
    <w:p>
      <w:r>
        <w:t>Variable : residence</w:t>
      </w:r>
    </w:p>
    <w:tbl>
      <w:tblPr>
        <w:tblStyle w:val="TableGrid"/>
        <w:tblW w:type="auto" w:w="0"/>
        <w:tblLook w:firstColumn="1" w:firstRow="1" w:lastColumn="0" w:lastRow="0" w:noHBand="0" w:noVBand="1" w:val="04A0"/>
      </w:tblPr>
      <w:tblGrid>
        <w:gridCol w:w="2880"/>
        <w:gridCol w:w="2880"/>
        <w:gridCol w:w="2880"/>
      </w:tblGrid>
      <w:tr>
        <w:tc>
          <w:tcPr>
            <w:tcW w:type="dxa" w:w="2880"/>
          </w:tcPr>
          <w:p>
            <w:r>
              <w:t>Modalité</w:t>
            </w:r>
          </w:p>
        </w:tc>
        <w:tc>
          <w:tcPr>
            <w:tcW w:type="dxa" w:w="2880"/>
          </w:tcPr>
          <w:p>
            <w:r>
              <w:t>Effectif</w:t>
            </w:r>
          </w:p>
        </w:tc>
        <w:tc>
          <w:tcPr>
            <w:tcW w:type="dxa" w:w="2880"/>
          </w:tcPr>
          <w:p>
            <w:r>
              <w:t>Pourcentage</w:t>
            </w:r>
          </w:p>
        </w:tc>
      </w:tr>
      <w:tr>
        <w:tc>
          <w:tcPr>
            <w:tcW w:type="dxa" w:w="2880"/>
          </w:tcPr>
          <w:p>
            <w:r>
              <w:t>Bukavu</w:t>
            </w:r>
          </w:p>
        </w:tc>
        <w:tc>
          <w:tcPr>
            <w:tcW w:type="dxa" w:w="2880"/>
          </w:tcPr>
          <w:p>
            <w:r>
              <w:t>37</w:t>
            </w:r>
          </w:p>
        </w:tc>
        <w:tc>
          <w:tcPr>
            <w:tcW w:type="dxa" w:w="2880"/>
          </w:tcPr>
          <w:p>
            <w:r>
              <w:t>75.5%</w:t>
            </w:r>
          </w:p>
        </w:tc>
      </w:tr>
      <w:tr>
        <w:tc>
          <w:tcPr>
            <w:tcW w:type="dxa" w:w="2880"/>
          </w:tcPr>
          <w:p>
            <w:r>
              <w:t>Hors Bukavu</w:t>
            </w:r>
          </w:p>
        </w:tc>
        <w:tc>
          <w:tcPr>
            <w:tcW w:type="dxa" w:w="2880"/>
          </w:tcPr>
          <w:p>
            <w:r>
              <w:t>12</w:t>
            </w:r>
          </w:p>
        </w:tc>
        <w:tc>
          <w:tcPr>
            <w:tcW w:type="dxa" w:w="2880"/>
          </w:tcPr>
          <w:p>
            <w:r>
              <w:t>24.5%</w:t>
            </w:r>
          </w:p>
        </w:tc>
      </w:tr>
    </w:tbl>
    <w:p>
      <w:r>
        <w:t>Variable : niveau_instruction</w:t>
      </w:r>
    </w:p>
    <w:tbl>
      <w:tblPr>
        <w:tblStyle w:val="TableGrid"/>
        <w:tblW w:type="auto" w:w="0"/>
        <w:tblLook w:firstColumn="1" w:firstRow="1" w:lastColumn="0" w:lastRow="0" w:noHBand="0" w:noVBand="1" w:val="04A0"/>
      </w:tblPr>
      <w:tblGrid>
        <w:gridCol w:w="2880"/>
        <w:gridCol w:w="2880"/>
        <w:gridCol w:w="2880"/>
      </w:tblGrid>
      <w:tr>
        <w:tc>
          <w:tcPr>
            <w:tcW w:type="dxa" w:w="2880"/>
          </w:tcPr>
          <w:p>
            <w:r>
              <w:t>Modalité</w:t>
            </w:r>
          </w:p>
        </w:tc>
        <w:tc>
          <w:tcPr>
            <w:tcW w:type="dxa" w:w="2880"/>
          </w:tcPr>
          <w:p>
            <w:r>
              <w:t>Effectif</w:t>
            </w:r>
          </w:p>
        </w:tc>
        <w:tc>
          <w:tcPr>
            <w:tcW w:type="dxa" w:w="2880"/>
          </w:tcPr>
          <w:p>
            <w:r>
              <w:t>Pourcentage</w:t>
            </w:r>
          </w:p>
        </w:tc>
      </w:tr>
      <w:tr>
        <w:tc>
          <w:tcPr>
            <w:tcW w:type="dxa" w:w="2880"/>
          </w:tcPr>
          <w:p>
            <w:r>
              <w:t>Secondaire</w:t>
            </w:r>
          </w:p>
        </w:tc>
        <w:tc>
          <w:tcPr>
            <w:tcW w:type="dxa" w:w="2880"/>
          </w:tcPr>
          <w:p>
            <w:r>
              <w:t>24</w:t>
            </w:r>
          </w:p>
        </w:tc>
        <w:tc>
          <w:tcPr>
            <w:tcW w:type="dxa" w:w="2880"/>
          </w:tcPr>
          <w:p>
            <w:r>
              <w:t>49.0%</w:t>
            </w:r>
          </w:p>
        </w:tc>
      </w:tr>
      <w:tr>
        <w:tc>
          <w:tcPr>
            <w:tcW w:type="dxa" w:w="2880"/>
          </w:tcPr>
          <w:p>
            <w:r>
              <w:t>Universitaire</w:t>
            </w:r>
          </w:p>
        </w:tc>
        <w:tc>
          <w:tcPr>
            <w:tcW w:type="dxa" w:w="2880"/>
          </w:tcPr>
          <w:p>
            <w:r>
              <w:t>12</w:t>
            </w:r>
          </w:p>
        </w:tc>
        <w:tc>
          <w:tcPr>
            <w:tcW w:type="dxa" w:w="2880"/>
          </w:tcPr>
          <w:p>
            <w:r>
              <w:t>24.5%</w:t>
            </w:r>
          </w:p>
        </w:tc>
      </w:tr>
      <w:tr>
        <w:tc>
          <w:tcPr>
            <w:tcW w:type="dxa" w:w="2880"/>
          </w:tcPr>
          <w:p>
            <w:r>
              <w:t>Primaire</w:t>
            </w:r>
          </w:p>
        </w:tc>
        <w:tc>
          <w:tcPr>
            <w:tcW w:type="dxa" w:w="2880"/>
          </w:tcPr>
          <w:p>
            <w:r>
              <w:t>9</w:t>
            </w:r>
          </w:p>
        </w:tc>
        <w:tc>
          <w:tcPr>
            <w:tcW w:type="dxa" w:w="2880"/>
          </w:tcPr>
          <w:p>
            <w:r>
              <w:t>18.4%</w:t>
            </w:r>
          </w:p>
        </w:tc>
      </w:tr>
      <w:tr>
        <w:tc>
          <w:tcPr>
            <w:tcW w:type="dxa" w:w="2880"/>
          </w:tcPr>
          <w:p>
            <w:r>
              <w:t>Aucun</w:t>
            </w:r>
          </w:p>
        </w:tc>
        <w:tc>
          <w:tcPr>
            <w:tcW w:type="dxa" w:w="2880"/>
          </w:tcPr>
          <w:p>
            <w:r>
              <w:t>4</w:t>
            </w:r>
          </w:p>
        </w:tc>
        <w:tc>
          <w:tcPr>
            <w:tcW w:type="dxa" w:w="2880"/>
          </w:tcPr>
          <w:p>
            <w:r>
              <w:t>8.2%</w:t>
            </w:r>
          </w:p>
        </w:tc>
      </w:tr>
    </w:tbl>
    <w:p>
      <w:r>
        <w:t>Variable : statut_matrimonial</w:t>
      </w:r>
    </w:p>
    <w:tbl>
      <w:tblPr>
        <w:tblStyle w:val="TableGrid"/>
        <w:tblW w:type="auto" w:w="0"/>
        <w:tblLook w:firstColumn="1" w:firstRow="1" w:lastColumn="0" w:lastRow="0" w:noHBand="0" w:noVBand="1" w:val="04A0"/>
      </w:tblPr>
      <w:tblGrid>
        <w:gridCol w:w="2880"/>
        <w:gridCol w:w="2880"/>
        <w:gridCol w:w="2880"/>
      </w:tblGrid>
      <w:tr>
        <w:tc>
          <w:tcPr>
            <w:tcW w:type="dxa" w:w="2880"/>
          </w:tcPr>
          <w:p>
            <w:r>
              <w:t>Modalité</w:t>
            </w:r>
          </w:p>
        </w:tc>
        <w:tc>
          <w:tcPr>
            <w:tcW w:type="dxa" w:w="2880"/>
          </w:tcPr>
          <w:p>
            <w:r>
              <w:t>Effectif</w:t>
            </w:r>
          </w:p>
        </w:tc>
        <w:tc>
          <w:tcPr>
            <w:tcW w:type="dxa" w:w="2880"/>
          </w:tcPr>
          <w:p>
            <w:r>
              <w:t>Pourcentage</w:t>
            </w:r>
          </w:p>
        </w:tc>
      </w:tr>
      <w:tr>
        <w:tc>
          <w:tcPr>
            <w:tcW w:type="dxa" w:w="2880"/>
          </w:tcPr>
          <w:p>
            <w:r>
              <w:t>Marie</w:t>
            </w:r>
          </w:p>
        </w:tc>
        <w:tc>
          <w:tcPr>
            <w:tcW w:type="dxa" w:w="2880"/>
          </w:tcPr>
          <w:p>
            <w:r>
              <w:t>22</w:t>
            </w:r>
          </w:p>
        </w:tc>
        <w:tc>
          <w:tcPr>
            <w:tcW w:type="dxa" w:w="2880"/>
          </w:tcPr>
          <w:p>
            <w:r>
              <w:t>44.9%</w:t>
            </w:r>
          </w:p>
        </w:tc>
      </w:tr>
      <w:tr>
        <w:tc>
          <w:tcPr>
            <w:tcW w:type="dxa" w:w="2880"/>
          </w:tcPr>
          <w:p>
            <w:r>
              <w:t>Celibataire</w:t>
            </w:r>
          </w:p>
        </w:tc>
        <w:tc>
          <w:tcPr>
            <w:tcW w:type="dxa" w:w="2880"/>
          </w:tcPr>
          <w:p>
            <w:r>
              <w:t>19</w:t>
            </w:r>
          </w:p>
        </w:tc>
        <w:tc>
          <w:tcPr>
            <w:tcW w:type="dxa" w:w="2880"/>
          </w:tcPr>
          <w:p>
            <w:r>
              <w:t>38.8%</w:t>
            </w:r>
          </w:p>
        </w:tc>
      </w:tr>
      <w:tr>
        <w:tc>
          <w:tcPr>
            <w:tcW w:type="dxa" w:w="2880"/>
          </w:tcPr>
          <w:p>
            <w:r>
              <w:t>Mariee</w:t>
            </w:r>
          </w:p>
        </w:tc>
        <w:tc>
          <w:tcPr>
            <w:tcW w:type="dxa" w:w="2880"/>
          </w:tcPr>
          <w:p>
            <w:r>
              <w:t>7</w:t>
            </w:r>
          </w:p>
        </w:tc>
        <w:tc>
          <w:tcPr>
            <w:tcW w:type="dxa" w:w="2880"/>
          </w:tcPr>
          <w:p>
            <w:r>
              <w:t>14.3%</w:t>
            </w:r>
          </w:p>
        </w:tc>
      </w:tr>
      <w:tr>
        <w:tc>
          <w:tcPr>
            <w:tcW w:type="dxa" w:w="2880"/>
          </w:tcPr>
          <w:p>
            <w:r>
              <w:t>Veuve</w:t>
            </w:r>
          </w:p>
        </w:tc>
        <w:tc>
          <w:tcPr>
            <w:tcW w:type="dxa" w:w="2880"/>
          </w:tcPr>
          <w:p>
            <w:r>
              <w:t>1</w:t>
            </w:r>
          </w:p>
        </w:tc>
        <w:tc>
          <w:tcPr>
            <w:tcW w:type="dxa" w:w="2880"/>
          </w:tcPr>
          <w:p>
            <w:r>
              <w:t>2.0%</w:t>
            </w:r>
          </w:p>
        </w:tc>
      </w:tr>
    </w:tbl>
    <w:p>
      <w:r>
        <w:t>Variable : atcd_medicaux</w:t>
      </w:r>
    </w:p>
    <w:tbl>
      <w:tblPr>
        <w:tblStyle w:val="TableGrid"/>
        <w:tblW w:type="auto" w:w="0"/>
        <w:tblLook w:firstColumn="1" w:firstRow="1" w:lastColumn="0" w:lastRow="0" w:noHBand="0" w:noVBand="1" w:val="04A0"/>
      </w:tblPr>
      <w:tblGrid>
        <w:gridCol w:w="2880"/>
        <w:gridCol w:w="2880"/>
        <w:gridCol w:w="2880"/>
      </w:tblGrid>
      <w:tr>
        <w:tc>
          <w:tcPr>
            <w:tcW w:type="dxa" w:w="2880"/>
          </w:tcPr>
          <w:p>
            <w:r>
              <w:t>Modalité</w:t>
            </w:r>
          </w:p>
        </w:tc>
        <w:tc>
          <w:tcPr>
            <w:tcW w:type="dxa" w:w="2880"/>
          </w:tcPr>
          <w:p>
            <w:r>
              <w:t>Effectif</w:t>
            </w:r>
          </w:p>
        </w:tc>
        <w:tc>
          <w:tcPr>
            <w:tcW w:type="dxa" w:w="2880"/>
          </w:tcPr>
          <w:p>
            <w:r>
              <w:t>Pourcentage</w:t>
            </w:r>
          </w:p>
        </w:tc>
      </w:tr>
      <w:tr>
        <w:tc>
          <w:tcPr>
            <w:tcW w:type="dxa" w:w="2880"/>
          </w:tcPr>
          <w:p>
            <w:r>
              <w:t>Aucun</w:t>
            </w:r>
          </w:p>
        </w:tc>
        <w:tc>
          <w:tcPr>
            <w:tcW w:type="dxa" w:w="2880"/>
          </w:tcPr>
          <w:p>
            <w:r>
              <w:t>35</w:t>
            </w:r>
          </w:p>
        </w:tc>
        <w:tc>
          <w:tcPr>
            <w:tcW w:type="dxa" w:w="2880"/>
          </w:tcPr>
          <w:p>
            <w:r>
              <w:t>71.4%</w:t>
            </w:r>
          </w:p>
        </w:tc>
      </w:tr>
      <w:tr>
        <w:tc>
          <w:tcPr>
            <w:tcW w:type="dxa" w:w="2880"/>
          </w:tcPr>
          <w:p>
            <w:r>
              <w:t>HTA;DBT</w:t>
            </w:r>
          </w:p>
        </w:tc>
        <w:tc>
          <w:tcPr>
            <w:tcW w:type="dxa" w:w="2880"/>
          </w:tcPr>
          <w:p>
            <w:r>
              <w:t>11</w:t>
            </w:r>
          </w:p>
        </w:tc>
        <w:tc>
          <w:tcPr>
            <w:tcW w:type="dxa" w:w="2880"/>
          </w:tcPr>
          <w:p>
            <w:r>
              <w:t>22.4%</w:t>
            </w:r>
          </w:p>
        </w:tc>
      </w:tr>
      <w:tr>
        <w:tc>
          <w:tcPr>
            <w:tcW w:type="dxa" w:w="2880"/>
          </w:tcPr>
          <w:p>
            <w:r>
              <w:t>HTA</w:t>
            </w:r>
          </w:p>
        </w:tc>
        <w:tc>
          <w:tcPr>
            <w:tcW w:type="dxa" w:w="2880"/>
          </w:tcPr>
          <w:p>
            <w:r>
              <w:t>3</w:t>
            </w:r>
          </w:p>
        </w:tc>
        <w:tc>
          <w:tcPr>
            <w:tcW w:type="dxa" w:w="2880"/>
          </w:tcPr>
          <w:p>
            <w:r>
              <w:t>6.1%</w:t>
            </w:r>
          </w:p>
        </w:tc>
      </w:tr>
    </w:tbl>
    <w:p>
      <w:r>
        <w:t>Variable : atcd_ophtalmologiques</w:t>
      </w:r>
    </w:p>
    <w:tbl>
      <w:tblPr>
        <w:tblStyle w:val="TableGrid"/>
        <w:tblW w:type="auto" w:w="0"/>
        <w:tblLook w:firstColumn="1" w:firstRow="1" w:lastColumn="0" w:lastRow="0" w:noHBand="0" w:noVBand="1" w:val="04A0"/>
      </w:tblPr>
      <w:tblGrid>
        <w:gridCol w:w="2880"/>
        <w:gridCol w:w="2880"/>
        <w:gridCol w:w="2880"/>
      </w:tblGrid>
      <w:tr>
        <w:tc>
          <w:tcPr>
            <w:tcW w:type="dxa" w:w="2880"/>
          </w:tcPr>
          <w:p>
            <w:r>
              <w:t>Modalité</w:t>
            </w:r>
          </w:p>
        </w:tc>
        <w:tc>
          <w:tcPr>
            <w:tcW w:type="dxa" w:w="2880"/>
          </w:tcPr>
          <w:p>
            <w:r>
              <w:t>Effectif</w:t>
            </w:r>
          </w:p>
        </w:tc>
        <w:tc>
          <w:tcPr>
            <w:tcW w:type="dxa" w:w="2880"/>
          </w:tcPr>
          <w:p>
            <w:r>
              <w:t>Pourcentage</w:t>
            </w:r>
          </w:p>
        </w:tc>
      </w:tr>
      <w:tr>
        <w:tc>
          <w:tcPr>
            <w:tcW w:type="dxa" w:w="2880"/>
          </w:tcPr>
          <w:p>
            <w:r>
              <w:t>Traumatisme</w:t>
            </w:r>
          </w:p>
        </w:tc>
        <w:tc>
          <w:tcPr>
            <w:tcW w:type="dxa" w:w="2880"/>
          </w:tcPr>
          <w:p>
            <w:r>
              <w:t>29</w:t>
            </w:r>
          </w:p>
        </w:tc>
        <w:tc>
          <w:tcPr>
            <w:tcW w:type="dxa" w:w="2880"/>
          </w:tcPr>
          <w:p>
            <w:r>
              <w:t>59.2%</w:t>
            </w:r>
          </w:p>
        </w:tc>
      </w:tr>
      <w:tr>
        <w:tc>
          <w:tcPr>
            <w:tcW w:type="dxa" w:w="2880"/>
          </w:tcPr>
          <w:p>
            <w:r>
              <w:t>Aucun</w:t>
            </w:r>
          </w:p>
        </w:tc>
        <w:tc>
          <w:tcPr>
            <w:tcW w:type="dxa" w:w="2880"/>
          </w:tcPr>
          <w:p>
            <w:r>
              <w:t>14</w:t>
            </w:r>
          </w:p>
        </w:tc>
        <w:tc>
          <w:tcPr>
            <w:tcW w:type="dxa" w:w="2880"/>
          </w:tcPr>
          <w:p>
            <w:r>
              <w:t>28.6%</w:t>
            </w:r>
          </w:p>
        </w:tc>
      </w:tr>
      <w:tr>
        <w:tc>
          <w:tcPr>
            <w:tcW w:type="dxa" w:w="2880"/>
          </w:tcPr>
          <w:p>
            <w:r>
              <w:t>Uvéite</w:t>
            </w:r>
          </w:p>
        </w:tc>
        <w:tc>
          <w:tcPr>
            <w:tcW w:type="dxa" w:w="2880"/>
          </w:tcPr>
          <w:p>
            <w:r>
              <w:t>4</w:t>
            </w:r>
          </w:p>
        </w:tc>
        <w:tc>
          <w:tcPr>
            <w:tcW w:type="dxa" w:w="2880"/>
          </w:tcPr>
          <w:p>
            <w:r>
              <w:t>8.2%</w:t>
            </w:r>
          </w:p>
        </w:tc>
      </w:tr>
      <w:tr>
        <w:tc>
          <w:tcPr>
            <w:tcW w:type="dxa" w:w="2880"/>
          </w:tcPr>
          <w:p>
            <w:r>
              <w:t>Myopie forte</w:t>
            </w:r>
          </w:p>
        </w:tc>
        <w:tc>
          <w:tcPr>
            <w:tcW w:type="dxa" w:w="2880"/>
          </w:tcPr>
          <w:p>
            <w:r>
              <w:t>2</w:t>
            </w:r>
          </w:p>
        </w:tc>
        <w:tc>
          <w:tcPr>
            <w:tcW w:type="dxa" w:w="2880"/>
          </w:tcPr>
          <w:p>
            <w:r>
              <w:t>4.1%</w:t>
            </w:r>
          </w:p>
        </w:tc>
      </w:tr>
    </w:tbl>
    <w:p>
      <w:r>
        <w:t>Variable : motif_consultation</w:t>
      </w:r>
    </w:p>
    <w:tbl>
      <w:tblPr>
        <w:tblStyle w:val="TableGrid"/>
        <w:tblW w:type="auto" w:w="0"/>
        <w:tblLook w:firstColumn="1" w:firstRow="1" w:lastColumn="0" w:lastRow="0" w:noHBand="0" w:noVBand="1" w:val="04A0"/>
      </w:tblPr>
      <w:tblGrid>
        <w:gridCol w:w="2880"/>
        <w:gridCol w:w="2880"/>
        <w:gridCol w:w="2880"/>
      </w:tblGrid>
      <w:tr>
        <w:tc>
          <w:tcPr>
            <w:tcW w:type="dxa" w:w="2880"/>
          </w:tcPr>
          <w:p>
            <w:r>
              <w:t>Modalité</w:t>
            </w:r>
          </w:p>
        </w:tc>
        <w:tc>
          <w:tcPr>
            <w:tcW w:type="dxa" w:w="2880"/>
          </w:tcPr>
          <w:p>
            <w:r>
              <w:t>Effectif</w:t>
            </w:r>
          </w:p>
        </w:tc>
        <w:tc>
          <w:tcPr>
            <w:tcW w:type="dxa" w:w="2880"/>
          </w:tcPr>
          <w:p>
            <w:r>
              <w:t>Pourcentage</w:t>
            </w:r>
          </w:p>
        </w:tc>
      </w:tr>
      <w:tr>
        <w:tc>
          <w:tcPr>
            <w:tcW w:type="dxa" w:w="2880"/>
          </w:tcPr>
          <w:p>
            <w:r>
              <w:t>Baisse de vision;Flou visuel</w:t>
            </w:r>
          </w:p>
        </w:tc>
        <w:tc>
          <w:tcPr>
            <w:tcW w:type="dxa" w:w="2880"/>
          </w:tcPr>
          <w:p>
            <w:r>
              <w:t>16</w:t>
            </w:r>
          </w:p>
        </w:tc>
        <w:tc>
          <w:tcPr>
            <w:tcW w:type="dxa" w:w="2880"/>
          </w:tcPr>
          <w:p>
            <w:r>
              <w:t>32.7%</w:t>
            </w:r>
          </w:p>
        </w:tc>
      </w:tr>
      <w:tr>
        <w:tc>
          <w:tcPr>
            <w:tcW w:type="dxa" w:w="2880"/>
          </w:tcPr>
          <w:p>
            <w:r>
              <w:t>Baisse de vision;Douleur</w:t>
            </w:r>
          </w:p>
        </w:tc>
        <w:tc>
          <w:tcPr>
            <w:tcW w:type="dxa" w:w="2880"/>
          </w:tcPr>
          <w:p>
            <w:r>
              <w:t>9</w:t>
            </w:r>
          </w:p>
        </w:tc>
        <w:tc>
          <w:tcPr>
            <w:tcW w:type="dxa" w:w="2880"/>
          </w:tcPr>
          <w:p>
            <w:r>
              <w:t>18.4%</w:t>
            </w:r>
          </w:p>
        </w:tc>
      </w:tr>
      <w:tr>
        <w:tc>
          <w:tcPr>
            <w:tcW w:type="dxa" w:w="2880"/>
          </w:tcPr>
          <w:p>
            <w:r>
              <w:t>Baisse de vision;Rougeur</w:t>
            </w:r>
          </w:p>
        </w:tc>
        <w:tc>
          <w:tcPr>
            <w:tcW w:type="dxa" w:w="2880"/>
          </w:tcPr>
          <w:p>
            <w:r>
              <w:t>9</w:t>
            </w:r>
          </w:p>
        </w:tc>
        <w:tc>
          <w:tcPr>
            <w:tcW w:type="dxa" w:w="2880"/>
          </w:tcPr>
          <w:p>
            <w:r>
              <w:t>18.4%</w:t>
            </w:r>
          </w:p>
        </w:tc>
      </w:tr>
      <w:tr>
        <w:tc>
          <w:tcPr>
            <w:tcW w:type="dxa" w:w="2880"/>
          </w:tcPr>
          <w:p>
            <w:r>
              <w:t>Baisse de vision</w:t>
            </w:r>
          </w:p>
        </w:tc>
        <w:tc>
          <w:tcPr>
            <w:tcW w:type="dxa" w:w="2880"/>
          </w:tcPr>
          <w:p>
            <w:r>
              <w:t>6</w:t>
            </w:r>
          </w:p>
        </w:tc>
        <w:tc>
          <w:tcPr>
            <w:tcW w:type="dxa" w:w="2880"/>
          </w:tcPr>
          <w:p>
            <w:r>
              <w:t>12.2%</w:t>
            </w:r>
          </w:p>
        </w:tc>
      </w:tr>
      <w:tr>
        <w:tc>
          <w:tcPr>
            <w:tcW w:type="dxa" w:w="2880"/>
          </w:tcPr>
          <w:p>
            <w:r>
              <w:t>Baisse de vision;Corps etranger</w:t>
            </w:r>
          </w:p>
        </w:tc>
        <w:tc>
          <w:tcPr>
            <w:tcW w:type="dxa" w:w="2880"/>
          </w:tcPr>
          <w:p>
            <w:r>
              <w:t>4</w:t>
            </w:r>
          </w:p>
        </w:tc>
        <w:tc>
          <w:tcPr>
            <w:tcW w:type="dxa" w:w="2880"/>
          </w:tcPr>
          <w:p>
            <w:r>
              <w:t>8.2%</w:t>
            </w:r>
          </w:p>
        </w:tc>
      </w:tr>
      <w:tr>
        <w:tc>
          <w:tcPr>
            <w:tcW w:type="dxa" w:w="2880"/>
          </w:tcPr>
          <w:p>
            <w:r>
              <w:t>Baisse de vision;Cephalees</w:t>
            </w:r>
          </w:p>
        </w:tc>
        <w:tc>
          <w:tcPr>
            <w:tcW w:type="dxa" w:w="2880"/>
          </w:tcPr>
          <w:p>
            <w:r>
              <w:t>4</w:t>
            </w:r>
          </w:p>
        </w:tc>
        <w:tc>
          <w:tcPr>
            <w:tcW w:type="dxa" w:w="2880"/>
          </w:tcPr>
          <w:p>
            <w:r>
              <w:t>8.2%</w:t>
            </w:r>
          </w:p>
        </w:tc>
      </w:tr>
      <w:tr>
        <w:tc>
          <w:tcPr>
            <w:tcW w:type="dxa" w:w="2880"/>
          </w:tcPr>
          <w:p>
            <w:r>
              <w:t>Baisse de vision;Lésion oculaire</w:t>
            </w:r>
          </w:p>
        </w:tc>
        <w:tc>
          <w:tcPr>
            <w:tcW w:type="dxa" w:w="2880"/>
          </w:tcPr>
          <w:p>
            <w:r>
              <w:t>1</w:t>
            </w:r>
          </w:p>
        </w:tc>
        <w:tc>
          <w:tcPr>
            <w:tcW w:type="dxa" w:w="2880"/>
          </w:tcPr>
          <w:p>
            <w:r>
              <w:t>2.0%</w:t>
            </w:r>
          </w:p>
        </w:tc>
      </w:tr>
    </w:tbl>
    <w:p>
      <w:r>
        <w:t>Variable : lateralite</w:t>
      </w:r>
    </w:p>
    <w:tbl>
      <w:tblPr>
        <w:tblStyle w:val="TableGrid"/>
        <w:tblW w:type="auto" w:w="0"/>
        <w:tblLook w:firstColumn="1" w:firstRow="1" w:lastColumn="0" w:lastRow="0" w:noHBand="0" w:noVBand="1" w:val="04A0"/>
      </w:tblPr>
      <w:tblGrid>
        <w:gridCol w:w="2880"/>
        <w:gridCol w:w="2880"/>
        <w:gridCol w:w="2880"/>
      </w:tblGrid>
      <w:tr>
        <w:tc>
          <w:tcPr>
            <w:tcW w:type="dxa" w:w="2880"/>
          </w:tcPr>
          <w:p>
            <w:r>
              <w:t>Modalité</w:t>
            </w:r>
          </w:p>
        </w:tc>
        <w:tc>
          <w:tcPr>
            <w:tcW w:type="dxa" w:w="2880"/>
          </w:tcPr>
          <w:p>
            <w:r>
              <w:t>Effectif</w:t>
            </w:r>
          </w:p>
        </w:tc>
        <w:tc>
          <w:tcPr>
            <w:tcW w:type="dxa" w:w="2880"/>
          </w:tcPr>
          <w:p>
            <w:r>
              <w:t>Pourcentage</w:t>
            </w:r>
          </w:p>
        </w:tc>
      </w:tr>
      <w:tr>
        <w:tc>
          <w:tcPr>
            <w:tcW w:type="dxa" w:w="2880"/>
          </w:tcPr>
          <w:p>
            <w:r>
              <w:t>Droit</w:t>
            </w:r>
          </w:p>
        </w:tc>
        <w:tc>
          <w:tcPr>
            <w:tcW w:type="dxa" w:w="2880"/>
          </w:tcPr>
          <w:p>
            <w:r>
              <w:t>36</w:t>
            </w:r>
          </w:p>
        </w:tc>
        <w:tc>
          <w:tcPr>
            <w:tcW w:type="dxa" w:w="2880"/>
          </w:tcPr>
          <w:p>
            <w:r>
              <w:t>73.5%</w:t>
            </w:r>
          </w:p>
        </w:tc>
      </w:tr>
      <w:tr>
        <w:tc>
          <w:tcPr>
            <w:tcW w:type="dxa" w:w="2880"/>
          </w:tcPr>
          <w:p>
            <w:r>
              <w:t>Gauche</w:t>
            </w:r>
          </w:p>
        </w:tc>
        <w:tc>
          <w:tcPr>
            <w:tcW w:type="dxa" w:w="2880"/>
          </w:tcPr>
          <w:p>
            <w:r>
              <w:t>9</w:t>
            </w:r>
          </w:p>
        </w:tc>
        <w:tc>
          <w:tcPr>
            <w:tcW w:type="dxa" w:w="2880"/>
          </w:tcPr>
          <w:p>
            <w:r>
              <w:t>18.4%</w:t>
            </w:r>
          </w:p>
        </w:tc>
      </w:tr>
      <w:tr>
        <w:tc>
          <w:tcPr>
            <w:tcW w:type="dxa" w:w="2880"/>
          </w:tcPr>
          <w:p>
            <w:r>
              <w:t>Bilatérale</w:t>
            </w:r>
          </w:p>
        </w:tc>
        <w:tc>
          <w:tcPr>
            <w:tcW w:type="dxa" w:w="2880"/>
          </w:tcPr>
          <w:p>
            <w:r>
              <w:t>4</w:t>
            </w:r>
          </w:p>
        </w:tc>
        <w:tc>
          <w:tcPr>
            <w:tcW w:type="dxa" w:w="2880"/>
          </w:tcPr>
          <w:p>
            <w:r>
              <w:t>8.2%</w:t>
            </w:r>
          </w:p>
        </w:tc>
      </w:tr>
    </w:tbl>
    <w:p>
      <w:r>
        <w:t>Variable : type_decollement</w:t>
      </w:r>
    </w:p>
    <w:tbl>
      <w:tblPr>
        <w:tblStyle w:val="TableGrid"/>
        <w:tblW w:type="auto" w:w="0"/>
        <w:tblLook w:firstColumn="1" w:firstRow="1" w:lastColumn="0" w:lastRow="0" w:noHBand="0" w:noVBand="1" w:val="04A0"/>
      </w:tblPr>
      <w:tblGrid>
        <w:gridCol w:w="2880"/>
        <w:gridCol w:w="2880"/>
        <w:gridCol w:w="2880"/>
      </w:tblGrid>
      <w:tr>
        <w:tc>
          <w:tcPr>
            <w:tcW w:type="dxa" w:w="2880"/>
          </w:tcPr>
          <w:p>
            <w:r>
              <w:t>Modalité</w:t>
            </w:r>
          </w:p>
        </w:tc>
        <w:tc>
          <w:tcPr>
            <w:tcW w:type="dxa" w:w="2880"/>
          </w:tcPr>
          <w:p>
            <w:r>
              <w:t>Effectif</w:t>
            </w:r>
          </w:p>
        </w:tc>
        <w:tc>
          <w:tcPr>
            <w:tcW w:type="dxa" w:w="2880"/>
          </w:tcPr>
          <w:p>
            <w:r>
              <w:t>Pourcentage</w:t>
            </w:r>
          </w:p>
        </w:tc>
      </w:tr>
      <w:tr>
        <w:tc>
          <w:tcPr>
            <w:tcW w:type="dxa" w:w="2880"/>
          </w:tcPr>
          <w:p>
            <w:r>
              <w:t>Partiel</w:t>
            </w:r>
          </w:p>
        </w:tc>
        <w:tc>
          <w:tcPr>
            <w:tcW w:type="dxa" w:w="2880"/>
          </w:tcPr>
          <w:p>
            <w:r>
              <w:t>41</w:t>
            </w:r>
          </w:p>
        </w:tc>
        <w:tc>
          <w:tcPr>
            <w:tcW w:type="dxa" w:w="2880"/>
          </w:tcPr>
          <w:p>
            <w:r>
              <w:t>83.7%</w:t>
            </w:r>
          </w:p>
        </w:tc>
      </w:tr>
      <w:tr>
        <w:tc>
          <w:tcPr>
            <w:tcW w:type="dxa" w:w="2880"/>
          </w:tcPr>
          <w:p>
            <w:r>
              <w:t>Total</w:t>
            </w:r>
          </w:p>
        </w:tc>
        <w:tc>
          <w:tcPr>
            <w:tcW w:type="dxa" w:w="2880"/>
          </w:tcPr>
          <w:p>
            <w:r>
              <w:t>8</w:t>
            </w:r>
          </w:p>
        </w:tc>
        <w:tc>
          <w:tcPr>
            <w:tcW w:type="dxa" w:w="2880"/>
          </w:tcPr>
          <w:p>
            <w:r>
              <w:t>16.3%</w:t>
            </w:r>
          </w:p>
        </w:tc>
      </w:tr>
    </w:tbl>
    <w:p>
      <w:r>
        <w:t>Variable : fond_oeil</w:t>
      </w:r>
    </w:p>
    <w:tbl>
      <w:tblPr>
        <w:tblStyle w:val="TableGrid"/>
        <w:tblW w:type="auto" w:w="0"/>
        <w:tblLook w:firstColumn="1" w:firstRow="1" w:lastColumn="0" w:lastRow="0" w:noHBand="0" w:noVBand="1" w:val="04A0"/>
      </w:tblPr>
      <w:tblGrid>
        <w:gridCol w:w="2880"/>
        <w:gridCol w:w="2880"/>
        <w:gridCol w:w="2880"/>
      </w:tblGrid>
      <w:tr>
        <w:tc>
          <w:tcPr>
            <w:tcW w:type="dxa" w:w="2880"/>
          </w:tcPr>
          <w:p>
            <w:r>
              <w:t>Modalité</w:t>
            </w:r>
          </w:p>
        </w:tc>
        <w:tc>
          <w:tcPr>
            <w:tcW w:type="dxa" w:w="2880"/>
          </w:tcPr>
          <w:p>
            <w:r>
              <w:t>Effectif</w:t>
            </w:r>
          </w:p>
        </w:tc>
        <w:tc>
          <w:tcPr>
            <w:tcW w:type="dxa" w:w="2880"/>
          </w:tcPr>
          <w:p>
            <w:r>
              <w:t>Pourcentage</w:t>
            </w:r>
          </w:p>
        </w:tc>
      </w:tr>
      <w:tr>
        <w:tc>
          <w:tcPr>
            <w:tcW w:type="dxa" w:w="2880"/>
          </w:tcPr>
          <w:p>
            <w:r>
              <w:t>FO inaccessible</w:t>
            </w:r>
          </w:p>
        </w:tc>
        <w:tc>
          <w:tcPr>
            <w:tcW w:type="dxa" w:w="2880"/>
          </w:tcPr>
          <w:p>
            <w:r>
              <w:t>34</w:t>
            </w:r>
          </w:p>
        </w:tc>
        <w:tc>
          <w:tcPr>
            <w:tcW w:type="dxa" w:w="2880"/>
          </w:tcPr>
          <w:p>
            <w:r>
              <w:t>69.4%</w:t>
            </w:r>
          </w:p>
        </w:tc>
      </w:tr>
      <w:tr>
        <w:tc>
          <w:tcPr>
            <w:tcW w:type="dxa" w:w="2880"/>
          </w:tcPr>
          <w:p>
            <w:r>
              <w:t>PVR</w:t>
            </w:r>
          </w:p>
        </w:tc>
        <w:tc>
          <w:tcPr>
            <w:tcW w:type="dxa" w:w="2880"/>
          </w:tcPr>
          <w:p>
            <w:r>
              <w:t>5</w:t>
            </w:r>
          </w:p>
        </w:tc>
        <w:tc>
          <w:tcPr>
            <w:tcW w:type="dxa" w:w="2880"/>
          </w:tcPr>
          <w:p>
            <w:r>
              <w:t>10.2%</w:t>
            </w:r>
          </w:p>
        </w:tc>
      </w:tr>
      <w:tr>
        <w:tc>
          <w:tcPr>
            <w:tcW w:type="dxa" w:w="2880"/>
          </w:tcPr>
          <w:p>
            <w:r>
              <w:t>Oedeme retinien et decollement total</w:t>
            </w:r>
          </w:p>
        </w:tc>
        <w:tc>
          <w:tcPr>
            <w:tcW w:type="dxa" w:w="2880"/>
          </w:tcPr>
          <w:p>
            <w:r>
              <w:t>5</w:t>
            </w:r>
          </w:p>
        </w:tc>
        <w:tc>
          <w:tcPr>
            <w:tcW w:type="dxa" w:w="2880"/>
          </w:tcPr>
          <w:p>
            <w:r>
              <w:t>10.2%</w:t>
            </w:r>
          </w:p>
        </w:tc>
      </w:tr>
      <w:tr>
        <w:tc>
          <w:tcPr>
            <w:tcW w:type="dxa" w:w="2880"/>
          </w:tcPr>
          <w:p>
            <w:r>
              <w:t>Dechirure retinienne</w:t>
            </w:r>
          </w:p>
        </w:tc>
        <w:tc>
          <w:tcPr>
            <w:tcW w:type="dxa" w:w="2880"/>
          </w:tcPr>
          <w:p>
            <w:r>
              <w:t>2</w:t>
            </w:r>
          </w:p>
        </w:tc>
        <w:tc>
          <w:tcPr>
            <w:tcW w:type="dxa" w:w="2880"/>
          </w:tcPr>
          <w:p>
            <w:r>
              <w:t>4.1%</w:t>
            </w:r>
          </w:p>
        </w:tc>
      </w:tr>
      <w:tr>
        <w:tc>
          <w:tcPr>
            <w:tcW w:type="dxa" w:w="2880"/>
          </w:tcPr>
          <w:p>
            <w:r>
              <w:t>Hemorragie</w:t>
            </w:r>
          </w:p>
        </w:tc>
        <w:tc>
          <w:tcPr>
            <w:tcW w:type="dxa" w:w="2880"/>
          </w:tcPr>
          <w:p>
            <w:r>
              <w:t>1</w:t>
            </w:r>
          </w:p>
        </w:tc>
        <w:tc>
          <w:tcPr>
            <w:tcW w:type="dxa" w:w="2880"/>
          </w:tcPr>
          <w:p>
            <w:r>
              <w:t>2.0%</w:t>
            </w:r>
          </w:p>
        </w:tc>
      </w:tr>
      <w:tr>
        <w:tc>
          <w:tcPr>
            <w:tcW w:type="dxa" w:w="2880"/>
          </w:tcPr>
          <w:p>
            <w:r>
              <w:t>Decollement subtotal</w:t>
            </w:r>
          </w:p>
        </w:tc>
        <w:tc>
          <w:tcPr>
            <w:tcW w:type="dxa" w:w="2880"/>
          </w:tcPr>
          <w:p>
            <w:r>
              <w:t>1</w:t>
            </w:r>
          </w:p>
        </w:tc>
        <w:tc>
          <w:tcPr>
            <w:tcW w:type="dxa" w:w="2880"/>
          </w:tcPr>
          <w:p>
            <w:r>
              <w:t>2.0%</w:t>
            </w:r>
          </w:p>
        </w:tc>
      </w:tr>
      <w:tr>
        <w:tc>
          <w:tcPr>
            <w:tcW w:type="dxa" w:w="2880"/>
          </w:tcPr>
          <w:p>
            <w:r>
              <w:t>Oedeme papillaire</w:t>
            </w:r>
          </w:p>
        </w:tc>
        <w:tc>
          <w:tcPr>
            <w:tcW w:type="dxa" w:w="2880"/>
          </w:tcPr>
          <w:p>
            <w:r>
              <w:t>1</w:t>
            </w:r>
          </w:p>
        </w:tc>
        <w:tc>
          <w:tcPr>
            <w:tcW w:type="dxa" w:w="2880"/>
          </w:tcPr>
          <w:p>
            <w:r>
              <w:t>2.0%</w:t>
            </w:r>
          </w:p>
        </w:tc>
      </w:tr>
    </w:tbl>
    <w:p>
      <w:r>
        <w:t>Variable : pression_intraoculaire</w:t>
      </w:r>
    </w:p>
    <w:tbl>
      <w:tblPr>
        <w:tblStyle w:val="TableGrid"/>
        <w:tblW w:type="auto" w:w="0"/>
        <w:tblLook w:firstColumn="1" w:firstRow="1" w:lastColumn="0" w:lastRow="0" w:noHBand="0" w:noVBand="1" w:val="04A0"/>
      </w:tblPr>
      <w:tblGrid>
        <w:gridCol w:w="2880"/>
        <w:gridCol w:w="2880"/>
        <w:gridCol w:w="2880"/>
      </w:tblGrid>
      <w:tr>
        <w:tc>
          <w:tcPr>
            <w:tcW w:type="dxa" w:w="2880"/>
          </w:tcPr>
          <w:p>
            <w:r>
              <w:t>Modalité</w:t>
            </w:r>
          </w:p>
        </w:tc>
        <w:tc>
          <w:tcPr>
            <w:tcW w:type="dxa" w:w="2880"/>
          </w:tcPr>
          <w:p>
            <w:r>
              <w:t>Effectif</w:t>
            </w:r>
          </w:p>
        </w:tc>
        <w:tc>
          <w:tcPr>
            <w:tcW w:type="dxa" w:w="2880"/>
          </w:tcPr>
          <w:p>
            <w:r>
              <w:t>Pourcentage</w:t>
            </w:r>
          </w:p>
        </w:tc>
      </w:tr>
      <w:tr>
        <w:tc>
          <w:tcPr>
            <w:tcW w:type="dxa" w:w="2880"/>
          </w:tcPr>
          <w:p>
            <w:r>
              <w:t>&lt;=20</w:t>
            </w:r>
          </w:p>
        </w:tc>
        <w:tc>
          <w:tcPr>
            <w:tcW w:type="dxa" w:w="2880"/>
          </w:tcPr>
          <w:p>
            <w:r>
              <w:t>28</w:t>
            </w:r>
          </w:p>
        </w:tc>
        <w:tc>
          <w:tcPr>
            <w:tcW w:type="dxa" w:w="2880"/>
          </w:tcPr>
          <w:p>
            <w:r>
              <w:t>57.1%</w:t>
            </w:r>
          </w:p>
        </w:tc>
      </w:tr>
      <w:tr>
        <w:tc>
          <w:tcPr>
            <w:tcW w:type="dxa" w:w="2880"/>
          </w:tcPr>
          <w:p>
            <w:r>
              <w:t>&gt;=21</w:t>
            </w:r>
          </w:p>
        </w:tc>
        <w:tc>
          <w:tcPr>
            <w:tcW w:type="dxa" w:w="2880"/>
          </w:tcPr>
          <w:p>
            <w:r>
              <w:t>21</w:t>
            </w:r>
          </w:p>
        </w:tc>
        <w:tc>
          <w:tcPr>
            <w:tcW w:type="dxa" w:w="2880"/>
          </w:tcPr>
          <w:p>
            <w:r>
              <w:t>42.9%</w:t>
            </w:r>
          </w:p>
        </w:tc>
      </w:tr>
    </w:tbl>
    <w:p>
      <w:r>
        <w:t>Variable : bilan</w:t>
      </w:r>
    </w:p>
    <w:tbl>
      <w:tblPr>
        <w:tblStyle w:val="TableGrid"/>
        <w:tblW w:type="auto" w:w="0"/>
        <w:tblLook w:firstColumn="1" w:firstRow="1" w:lastColumn="0" w:lastRow="0" w:noHBand="0" w:noVBand="1" w:val="04A0"/>
      </w:tblPr>
      <w:tblGrid>
        <w:gridCol w:w="2880"/>
        <w:gridCol w:w="2880"/>
        <w:gridCol w:w="2880"/>
      </w:tblGrid>
      <w:tr>
        <w:tc>
          <w:tcPr>
            <w:tcW w:type="dxa" w:w="2880"/>
          </w:tcPr>
          <w:p>
            <w:r>
              <w:t>Modalité</w:t>
            </w:r>
          </w:p>
        </w:tc>
        <w:tc>
          <w:tcPr>
            <w:tcW w:type="dxa" w:w="2880"/>
          </w:tcPr>
          <w:p>
            <w:r>
              <w:t>Effectif</w:t>
            </w:r>
          </w:p>
        </w:tc>
        <w:tc>
          <w:tcPr>
            <w:tcW w:type="dxa" w:w="2880"/>
          </w:tcPr>
          <w:p>
            <w:r>
              <w:t>Pourcentage</w:t>
            </w:r>
          </w:p>
        </w:tc>
      </w:tr>
      <w:tr>
        <w:tc>
          <w:tcPr>
            <w:tcW w:type="dxa" w:w="2880"/>
          </w:tcPr>
          <w:p>
            <w:r>
              <w:t>Echographie</w:t>
            </w:r>
          </w:p>
        </w:tc>
        <w:tc>
          <w:tcPr>
            <w:tcW w:type="dxa" w:w="2880"/>
          </w:tcPr>
          <w:p>
            <w:r>
              <w:t>29</w:t>
            </w:r>
          </w:p>
        </w:tc>
        <w:tc>
          <w:tcPr>
            <w:tcW w:type="dxa" w:w="2880"/>
          </w:tcPr>
          <w:p>
            <w:r>
              <w:t>59.2%</w:t>
            </w:r>
          </w:p>
        </w:tc>
      </w:tr>
      <w:tr>
        <w:tc>
          <w:tcPr>
            <w:tcW w:type="dxa" w:w="2880"/>
          </w:tcPr>
          <w:p>
            <w:r>
              <w:t>Echographie et photo</w:t>
            </w:r>
          </w:p>
        </w:tc>
        <w:tc>
          <w:tcPr>
            <w:tcW w:type="dxa" w:w="2880"/>
          </w:tcPr>
          <w:p>
            <w:r>
              <w:t>20</w:t>
            </w:r>
          </w:p>
        </w:tc>
        <w:tc>
          <w:tcPr>
            <w:tcW w:type="dxa" w:w="2880"/>
          </w:tcPr>
          <w:p>
            <w:r>
              <w:t>40.8%</w:t>
            </w:r>
          </w:p>
        </w:tc>
      </w:tr>
    </w:tbl>
    <w:p>
      <w:r>
        <w:t>Variable : etiologie</w:t>
      </w:r>
    </w:p>
    <w:tbl>
      <w:tblPr>
        <w:tblStyle w:val="TableGrid"/>
        <w:tblW w:type="auto" w:w="0"/>
        <w:tblLook w:firstColumn="1" w:firstRow="1" w:lastColumn="0" w:lastRow="0" w:noHBand="0" w:noVBand="1" w:val="04A0"/>
      </w:tblPr>
      <w:tblGrid>
        <w:gridCol w:w="2880"/>
        <w:gridCol w:w="2880"/>
        <w:gridCol w:w="2880"/>
      </w:tblGrid>
      <w:tr>
        <w:tc>
          <w:tcPr>
            <w:tcW w:type="dxa" w:w="2880"/>
          </w:tcPr>
          <w:p>
            <w:r>
              <w:t>Modalité</w:t>
            </w:r>
          </w:p>
        </w:tc>
        <w:tc>
          <w:tcPr>
            <w:tcW w:type="dxa" w:w="2880"/>
          </w:tcPr>
          <w:p>
            <w:r>
              <w:t>Effectif</w:t>
            </w:r>
          </w:p>
        </w:tc>
        <w:tc>
          <w:tcPr>
            <w:tcW w:type="dxa" w:w="2880"/>
          </w:tcPr>
          <w:p>
            <w:r>
              <w:t>Pourcentage</w:t>
            </w:r>
          </w:p>
        </w:tc>
      </w:tr>
      <w:tr>
        <w:tc>
          <w:tcPr>
            <w:tcW w:type="dxa" w:w="2880"/>
          </w:tcPr>
          <w:p>
            <w:r>
              <w:t>Traumatisme</w:t>
            </w:r>
          </w:p>
        </w:tc>
        <w:tc>
          <w:tcPr>
            <w:tcW w:type="dxa" w:w="2880"/>
          </w:tcPr>
          <w:p>
            <w:r>
              <w:t>29</w:t>
            </w:r>
          </w:p>
        </w:tc>
        <w:tc>
          <w:tcPr>
            <w:tcW w:type="dxa" w:w="2880"/>
          </w:tcPr>
          <w:p>
            <w:r>
              <w:t>59.2%</w:t>
            </w:r>
          </w:p>
        </w:tc>
      </w:tr>
      <w:tr>
        <w:tc>
          <w:tcPr>
            <w:tcW w:type="dxa" w:w="2880"/>
          </w:tcPr>
          <w:p>
            <w:r>
              <w:t>Post-uvéite</w:t>
            </w:r>
          </w:p>
        </w:tc>
        <w:tc>
          <w:tcPr>
            <w:tcW w:type="dxa" w:w="2880"/>
          </w:tcPr>
          <w:p>
            <w:r>
              <w:t>10</w:t>
            </w:r>
          </w:p>
        </w:tc>
        <w:tc>
          <w:tcPr>
            <w:tcW w:type="dxa" w:w="2880"/>
          </w:tcPr>
          <w:p>
            <w:r>
              <w:t>20.4%</w:t>
            </w:r>
          </w:p>
        </w:tc>
      </w:tr>
      <w:tr>
        <w:tc>
          <w:tcPr>
            <w:tcW w:type="dxa" w:w="2880"/>
          </w:tcPr>
          <w:p>
            <w:r>
              <w:t>Inconnue</w:t>
            </w:r>
          </w:p>
        </w:tc>
        <w:tc>
          <w:tcPr>
            <w:tcW w:type="dxa" w:w="2880"/>
          </w:tcPr>
          <w:p>
            <w:r>
              <w:t>10</w:t>
            </w:r>
          </w:p>
        </w:tc>
        <w:tc>
          <w:tcPr>
            <w:tcW w:type="dxa" w:w="2880"/>
          </w:tcPr>
          <w:p>
            <w:r>
              <w:t>20.4%</w:t>
            </w:r>
          </w:p>
        </w:tc>
      </w:tr>
    </w:tbl>
    <w:p>
      <w:r>
        <w:t>Variable : prise_en_charge</w:t>
      </w:r>
    </w:p>
    <w:tbl>
      <w:tblPr>
        <w:tblStyle w:val="TableGrid"/>
        <w:tblW w:type="auto" w:w="0"/>
        <w:tblLook w:firstColumn="1" w:firstRow="1" w:lastColumn="0" w:lastRow="0" w:noHBand="0" w:noVBand="1" w:val="04A0"/>
      </w:tblPr>
      <w:tblGrid>
        <w:gridCol w:w="2880"/>
        <w:gridCol w:w="2880"/>
        <w:gridCol w:w="2880"/>
      </w:tblGrid>
      <w:tr>
        <w:tc>
          <w:tcPr>
            <w:tcW w:type="dxa" w:w="2880"/>
          </w:tcPr>
          <w:p>
            <w:r>
              <w:t>Modalité</w:t>
            </w:r>
          </w:p>
        </w:tc>
        <w:tc>
          <w:tcPr>
            <w:tcW w:type="dxa" w:w="2880"/>
          </w:tcPr>
          <w:p>
            <w:r>
              <w:t>Effectif</w:t>
            </w:r>
          </w:p>
        </w:tc>
        <w:tc>
          <w:tcPr>
            <w:tcW w:type="dxa" w:w="2880"/>
          </w:tcPr>
          <w:p>
            <w:r>
              <w:t>Pourcentage</w:t>
            </w:r>
          </w:p>
        </w:tc>
      </w:tr>
      <w:tr>
        <w:tc>
          <w:tcPr>
            <w:tcW w:type="dxa" w:w="2880"/>
          </w:tcPr>
          <w:p>
            <w:r>
              <w:t>Medical</w:t>
            </w:r>
          </w:p>
        </w:tc>
        <w:tc>
          <w:tcPr>
            <w:tcW w:type="dxa" w:w="2880"/>
          </w:tcPr>
          <w:p>
            <w:r>
              <w:t>39</w:t>
            </w:r>
          </w:p>
        </w:tc>
        <w:tc>
          <w:tcPr>
            <w:tcW w:type="dxa" w:w="2880"/>
          </w:tcPr>
          <w:p>
            <w:r>
              <w:t>79.6%</w:t>
            </w:r>
          </w:p>
        </w:tc>
      </w:tr>
      <w:tr>
        <w:tc>
          <w:tcPr>
            <w:tcW w:type="dxa" w:w="2880"/>
          </w:tcPr>
          <w:p>
            <w:r>
              <w:t>Chirurgical</w:t>
            </w:r>
          </w:p>
        </w:tc>
        <w:tc>
          <w:tcPr>
            <w:tcW w:type="dxa" w:w="2880"/>
          </w:tcPr>
          <w:p>
            <w:r>
              <w:t>10</w:t>
            </w:r>
          </w:p>
        </w:tc>
        <w:tc>
          <w:tcPr>
            <w:tcW w:type="dxa" w:w="2880"/>
          </w:tcPr>
          <w:p>
            <w:r>
              <w:t>20.4%</w:t>
            </w:r>
          </w:p>
        </w:tc>
      </w:tr>
    </w:tbl>
    <w:p>
      <w:r>
        <w:t>Variable : evolution</w:t>
      </w:r>
    </w:p>
    <w:tbl>
      <w:tblPr>
        <w:tblStyle w:val="TableGrid"/>
        <w:tblW w:type="auto" w:w="0"/>
        <w:tblLook w:firstColumn="1" w:firstRow="1" w:lastColumn="0" w:lastRow="0" w:noHBand="0" w:noVBand="1" w:val="04A0"/>
      </w:tblPr>
      <w:tblGrid>
        <w:gridCol w:w="2880"/>
        <w:gridCol w:w="2880"/>
        <w:gridCol w:w="2880"/>
      </w:tblGrid>
      <w:tr>
        <w:tc>
          <w:tcPr>
            <w:tcW w:type="dxa" w:w="2880"/>
          </w:tcPr>
          <w:p>
            <w:r>
              <w:t>Modalité</w:t>
            </w:r>
          </w:p>
        </w:tc>
        <w:tc>
          <w:tcPr>
            <w:tcW w:type="dxa" w:w="2880"/>
          </w:tcPr>
          <w:p>
            <w:r>
              <w:t>Effectif</w:t>
            </w:r>
          </w:p>
        </w:tc>
        <w:tc>
          <w:tcPr>
            <w:tcW w:type="dxa" w:w="2880"/>
          </w:tcPr>
          <w:p>
            <w:r>
              <w:t>Pourcentage</w:t>
            </w:r>
          </w:p>
        </w:tc>
      </w:tr>
      <w:tr>
        <w:tc>
          <w:tcPr>
            <w:tcW w:type="dxa" w:w="2880"/>
          </w:tcPr>
          <w:p>
            <w:r>
              <w:t>Cecite</w:t>
            </w:r>
          </w:p>
        </w:tc>
        <w:tc>
          <w:tcPr>
            <w:tcW w:type="dxa" w:w="2880"/>
          </w:tcPr>
          <w:p>
            <w:r>
              <w:t>39</w:t>
            </w:r>
          </w:p>
        </w:tc>
        <w:tc>
          <w:tcPr>
            <w:tcW w:type="dxa" w:w="2880"/>
          </w:tcPr>
          <w:p>
            <w:r>
              <w:t>79.6%</w:t>
            </w:r>
          </w:p>
        </w:tc>
      </w:tr>
      <w:tr>
        <w:tc>
          <w:tcPr>
            <w:tcW w:type="dxa" w:w="2880"/>
          </w:tcPr>
          <w:p>
            <w:r>
              <w:t>Amelioration</w:t>
            </w:r>
          </w:p>
        </w:tc>
        <w:tc>
          <w:tcPr>
            <w:tcW w:type="dxa" w:w="2880"/>
          </w:tcPr>
          <w:p>
            <w:r>
              <w:t>10</w:t>
            </w:r>
          </w:p>
        </w:tc>
        <w:tc>
          <w:tcPr>
            <w:tcW w:type="dxa" w:w="2880"/>
          </w:tcPr>
          <w:p>
            <w:r>
              <w:t>20.4%</w:t>
            </w:r>
          </w:p>
        </w:tc>
      </w:tr>
    </w:tbl>
    <w:p>
      <w:r>
        <w:br w:type="page"/>
      </w:r>
    </w:p>
    <w:p>
      <w:pPr>
        <w:pStyle w:val="Heading2"/>
      </w:pPr>
      <w:r>
        <w:t>3.3 Visualisations</w:t>
      </w:r>
    </w:p>
    <w:p>
      <w:r>
        <w:drawing>
          <wp:inline xmlns:a="http://schemas.openxmlformats.org/drawingml/2006/main" xmlns:pic="http://schemas.openxmlformats.org/drawingml/2006/picture">
            <wp:extent cx="5029200" cy="3367971"/>
            <wp:docPr id="1" name="Picture 1"/>
            <wp:cNvGraphicFramePr>
              <a:graphicFrameLocks noChangeAspect="1"/>
            </wp:cNvGraphicFramePr>
            <a:graphic>
              <a:graphicData uri="http://schemas.openxmlformats.org/drawingml/2006/picture">
                <pic:pic>
                  <pic:nvPicPr>
                    <pic:cNvPr id="0" name="age_densite.png"/>
                    <pic:cNvPicPr/>
                  </pic:nvPicPr>
                  <pic:blipFill>
                    <a:blip r:embed="rId9"/>
                    <a:stretch>
                      <a:fillRect/>
                    </a:stretch>
                  </pic:blipFill>
                  <pic:spPr>
                    <a:xfrm>
                      <a:off x="0" y="0"/>
                      <a:ext cx="5029200" cy="3367971"/>
                    </a:xfrm>
                    <a:prstGeom prst="rect"/>
                  </pic:spPr>
                </pic:pic>
              </a:graphicData>
            </a:graphic>
          </wp:inline>
        </w:drawing>
      </w:r>
    </w:p>
    <w:p>
      <w:pPr>
        <w:jc w:val="center"/>
      </w:pPr>
      <w:r>
        <w:t>age_densite.png</w:t>
      </w:r>
    </w:p>
    <w:p/>
    <w:p>
      <w:r>
        <w:drawing>
          <wp:inline xmlns:a="http://schemas.openxmlformats.org/drawingml/2006/main" xmlns:pic="http://schemas.openxmlformats.org/drawingml/2006/picture">
            <wp:extent cx="5029200" cy="3502690"/>
            <wp:docPr id="2" name="Picture 2"/>
            <wp:cNvGraphicFramePr>
              <a:graphicFrameLocks noChangeAspect="1"/>
            </wp:cNvGraphicFramePr>
            <a:graphic>
              <a:graphicData uri="http://schemas.openxmlformats.org/drawingml/2006/picture">
                <pic:pic>
                  <pic:nvPicPr>
                    <pic:cNvPr id="0" name="tranche_age_barres_vert.png"/>
                    <pic:cNvPicPr/>
                  </pic:nvPicPr>
                  <pic:blipFill>
                    <a:blip r:embed="rId10"/>
                    <a:stretch>
                      <a:fillRect/>
                    </a:stretch>
                  </pic:blipFill>
                  <pic:spPr>
                    <a:xfrm>
                      <a:off x="0" y="0"/>
                      <a:ext cx="5029200" cy="3502690"/>
                    </a:xfrm>
                    <a:prstGeom prst="rect"/>
                  </pic:spPr>
                </pic:pic>
              </a:graphicData>
            </a:graphic>
          </wp:inline>
        </w:drawing>
      </w:r>
    </w:p>
    <w:p>
      <w:pPr>
        <w:jc w:val="center"/>
      </w:pPr>
      <w:r>
        <w:t>tranche_age_barres_vert.png</w:t>
      </w:r>
    </w:p>
    <w:p/>
    <w:p>
      <w:r>
        <w:drawing>
          <wp:inline xmlns:a="http://schemas.openxmlformats.org/drawingml/2006/main" xmlns:pic="http://schemas.openxmlformats.org/drawingml/2006/picture">
            <wp:extent cx="5029200" cy="3502690"/>
            <wp:docPr id="3" name="Picture 3"/>
            <wp:cNvGraphicFramePr>
              <a:graphicFrameLocks noChangeAspect="1"/>
            </wp:cNvGraphicFramePr>
            <a:graphic>
              <a:graphicData uri="http://schemas.openxmlformats.org/drawingml/2006/picture">
                <pic:pic>
                  <pic:nvPicPr>
                    <pic:cNvPr id="0" name="sexe_barres_vert.png"/>
                    <pic:cNvPicPr/>
                  </pic:nvPicPr>
                  <pic:blipFill>
                    <a:blip r:embed="rId11"/>
                    <a:stretch>
                      <a:fillRect/>
                    </a:stretch>
                  </pic:blipFill>
                  <pic:spPr>
                    <a:xfrm>
                      <a:off x="0" y="0"/>
                      <a:ext cx="5029200" cy="3502690"/>
                    </a:xfrm>
                    <a:prstGeom prst="rect"/>
                  </pic:spPr>
                </pic:pic>
              </a:graphicData>
            </a:graphic>
          </wp:inline>
        </w:drawing>
      </w:r>
    </w:p>
    <w:p>
      <w:pPr>
        <w:jc w:val="center"/>
      </w:pPr>
      <w:r>
        <w:t>sexe_barres_vert.png</w:t>
      </w:r>
    </w:p>
    <w:p/>
    <w:p>
      <w:r>
        <w:drawing>
          <wp:inline xmlns:a="http://schemas.openxmlformats.org/drawingml/2006/main" xmlns:pic="http://schemas.openxmlformats.org/drawingml/2006/picture">
            <wp:extent cx="5029200" cy="5425869"/>
            <wp:docPr id="4" name="Picture 4"/>
            <wp:cNvGraphicFramePr>
              <a:graphicFrameLocks noChangeAspect="1"/>
            </wp:cNvGraphicFramePr>
            <a:graphic>
              <a:graphicData uri="http://schemas.openxmlformats.org/drawingml/2006/picture">
                <pic:pic>
                  <pic:nvPicPr>
                    <pic:cNvPr id="0" name="profession_donut.png"/>
                    <pic:cNvPicPr/>
                  </pic:nvPicPr>
                  <pic:blipFill>
                    <a:blip r:embed="rId12"/>
                    <a:stretch>
                      <a:fillRect/>
                    </a:stretch>
                  </pic:blipFill>
                  <pic:spPr>
                    <a:xfrm>
                      <a:off x="0" y="0"/>
                      <a:ext cx="5029200" cy="5425869"/>
                    </a:xfrm>
                    <a:prstGeom prst="rect"/>
                  </pic:spPr>
                </pic:pic>
              </a:graphicData>
            </a:graphic>
          </wp:inline>
        </w:drawing>
      </w:r>
    </w:p>
    <w:p>
      <w:pPr>
        <w:jc w:val="center"/>
      </w:pPr>
      <w:r>
        <w:t>profession_donut.png</w:t>
      </w:r>
    </w:p>
    <w:p/>
    <w:p>
      <w:r>
        <w:drawing>
          <wp:inline xmlns:a="http://schemas.openxmlformats.org/drawingml/2006/main" xmlns:pic="http://schemas.openxmlformats.org/drawingml/2006/picture">
            <wp:extent cx="5029200" cy="5425869"/>
            <wp:docPr id="5" name="Picture 5"/>
            <wp:cNvGraphicFramePr>
              <a:graphicFrameLocks noChangeAspect="1"/>
            </wp:cNvGraphicFramePr>
            <a:graphic>
              <a:graphicData uri="http://schemas.openxmlformats.org/drawingml/2006/picture">
                <pic:pic>
                  <pic:nvPicPr>
                    <pic:cNvPr id="0" name="residence_donut.png"/>
                    <pic:cNvPicPr/>
                  </pic:nvPicPr>
                  <pic:blipFill>
                    <a:blip r:embed="rId13"/>
                    <a:stretch>
                      <a:fillRect/>
                    </a:stretch>
                  </pic:blipFill>
                  <pic:spPr>
                    <a:xfrm>
                      <a:off x="0" y="0"/>
                      <a:ext cx="5029200" cy="5425869"/>
                    </a:xfrm>
                    <a:prstGeom prst="rect"/>
                  </pic:spPr>
                </pic:pic>
              </a:graphicData>
            </a:graphic>
          </wp:inline>
        </w:drawing>
      </w:r>
    </w:p>
    <w:p>
      <w:pPr>
        <w:jc w:val="center"/>
      </w:pPr>
      <w:r>
        <w:t>residence_donut.png</w:t>
      </w:r>
    </w:p>
    <w:p/>
    <w:p>
      <w:r>
        <w:drawing>
          <wp:inline xmlns:a="http://schemas.openxmlformats.org/drawingml/2006/main" xmlns:pic="http://schemas.openxmlformats.org/drawingml/2006/picture">
            <wp:extent cx="5029200" cy="3502690"/>
            <wp:docPr id="6" name="Picture 6"/>
            <wp:cNvGraphicFramePr>
              <a:graphicFrameLocks noChangeAspect="1"/>
            </wp:cNvGraphicFramePr>
            <a:graphic>
              <a:graphicData uri="http://schemas.openxmlformats.org/drawingml/2006/picture">
                <pic:pic>
                  <pic:nvPicPr>
                    <pic:cNvPr id="0" name="niveau_instruction_barres_vert.png"/>
                    <pic:cNvPicPr/>
                  </pic:nvPicPr>
                  <pic:blipFill>
                    <a:blip r:embed="rId14"/>
                    <a:stretch>
                      <a:fillRect/>
                    </a:stretch>
                  </pic:blipFill>
                  <pic:spPr>
                    <a:xfrm>
                      <a:off x="0" y="0"/>
                      <a:ext cx="5029200" cy="3502690"/>
                    </a:xfrm>
                    <a:prstGeom prst="rect"/>
                  </pic:spPr>
                </pic:pic>
              </a:graphicData>
            </a:graphic>
          </wp:inline>
        </w:drawing>
      </w:r>
    </w:p>
    <w:p>
      <w:pPr>
        <w:jc w:val="center"/>
      </w:pPr>
      <w:r>
        <w:t>niveau_instruction_barres_vert.png</w:t>
      </w:r>
    </w:p>
    <w:p/>
    <w:p>
      <w:r>
        <w:drawing>
          <wp:inline xmlns:a="http://schemas.openxmlformats.org/drawingml/2006/main" xmlns:pic="http://schemas.openxmlformats.org/drawingml/2006/picture">
            <wp:extent cx="5029200" cy="5354228"/>
            <wp:docPr id="7" name="Picture 7"/>
            <wp:cNvGraphicFramePr>
              <a:graphicFrameLocks noChangeAspect="1"/>
            </wp:cNvGraphicFramePr>
            <a:graphic>
              <a:graphicData uri="http://schemas.openxmlformats.org/drawingml/2006/picture">
                <pic:pic>
                  <pic:nvPicPr>
                    <pic:cNvPr id="0" name="statut_matrimonial_donut.png"/>
                    <pic:cNvPicPr/>
                  </pic:nvPicPr>
                  <pic:blipFill>
                    <a:blip r:embed="rId15"/>
                    <a:stretch>
                      <a:fillRect/>
                    </a:stretch>
                  </pic:blipFill>
                  <pic:spPr>
                    <a:xfrm>
                      <a:off x="0" y="0"/>
                      <a:ext cx="5029200" cy="5354228"/>
                    </a:xfrm>
                    <a:prstGeom prst="rect"/>
                  </pic:spPr>
                </pic:pic>
              </a:graphicData>
            </a:graphic>
          </wp:inline>
        </w:drawing>
      </w:r>
    </w:p>
    <w:p>
      <w:pPr>
        <w:jc w:val="center"/>
      </w:pPr>
      <w:r>
        <w:t>statut_matrimonial_donut.png</w:t>
      </w:r>
    </w:p>
    <w:p/>
    <w:p>
      <w:r>
        <w:drawing>
          <wp:inline xmlns:a="http://schemas.openxmlformats.org/drawingml/2006/main" xmlns:pic="http://schemas.openxmlformats.org/drawingml/2006/picture">
            <wp:extent cx="5029200" cy="3502690"/>
            <wp:docPr id="8" name="Picture 8"/>
            <wp:cNvGraphicFramePr>
              <a:graphicFrameLocks noChangeAspect="1"/>
            </wp:cNvGraphicFramePr>
            <a:graphic>
              <a:graphicData uri="http://schemas.openxmlformats.org/drawingml/2006/picture">
                <pic:pic>
                  <pic:nvPicPr>
                    <pic:cNvPr id="0" name="atcd_medicaux_barres_vert.png"/>
                    <pic:cNvPicPr/>
                  </pic:nvPicPr>
                  <pic:blipFill>
                    <a:blip r:embed="rId16"/>
                    <a:stretch>
                      <a:fillRect/>
                    </a:stretch>
                  </pic:blipFill>
                  <pic:spPr>
                    <a:xfrm>
                      <a:off x="0" y="0"/>
                      <a:ext cx="5029200" cy="3502690"/>
                    </a:xfrm>
                    <a:prstGeom prst="rect"/>
                  </pic:spPr>
                </pic:pic>
              </a:graphicData>
            </a:graphic>
          </wp:inline>
        </w:drawing>
      </w:r>
    </w:p>
    <w:p>
      <w:pPr>
        <w:jc w:val="center"/>
      </w:pPr>
      <w:r>
        <w:t>atcd_medicaux_barres_vert.png</w:t>
      </w:r>
    </w:p>
    <w:p/>
    <w:p>
      <w:r>
        <w:drawing>
          <wp:inline xmlns:a="http://schemas.openxmlformats.org/drawingml/2006/main" xmlns:pic="http://schemas.openxmlformats.org/drawingml/2006/picture">
            <wp:extent cx="5029200" cy="4980436"/>
            <wp:docPr id="9" name="Picture 9"/>
            <wp:cNvGraphicFramePr>
              <a:graphicFrameLocks noChangeAspect="1"/>
            </wp:cNvGraphicFramePr>
            <a:graphic>
              <a:graphicData uri="http://schemas.openxmlformats.org/drawingml/2006/picture">
                <pic:pic>
                  <pic:nvPicPr>
                    <pic:cNvPr id="0" name="atcd_ophtalmologiques_donut.png"/>
                    <pic:cNvPicPr/>
                  </pic:nvPicPr>
                  <pic:blipFill>
                    <a:blip r:embed="rId17"/>
                    <a:stretch>
                      <a:fillRect/>
                    </a:stretch>
                  </pic:blipFill>
                  <pic:spPr>
                    <a:xfrm>
                      <a:off x="0" y="0"/>
                      <a:ext cx="5029200" cy="4980436"/>
                    </a:xfrm>
                    <a:prstGeom prst="rect"/>
                  </pic:spPr>
                </pic:pic>
              </a:graphicData>
            </a:graphic>
          </wp:inline>
        </w:drawing>
      </w:r>
    </w:p>
    <w:p>
      <w:pPr>
        <w:jc w:val="center"/>
      </w:pPr>
      <w:r>
        <w:t>atcd_ophtalmologiques_donut.png</w:t>
      </w:r>
    </w:p>
    <w:p/>
    <w:p>
      <w:r>
        <w:drawing>
          <wp:inline xmlns:a="http://schemas.openxmlformats.org/drawingml/2006/main" xmlns:pic="http://schemas.openxmlformats.org/drawingml/2006/picture">
            <wp:extent cx="5029200" cy="3502690"/>
            <wp:docPr id="10" name="Picture 10"/>
            <wp:cNvGraphicFramePr>
              <a:graphicFrameLocks noChangeAspect="1"/>
            </wp:cNvGraphicFramePr>
            <a:graphic>
              <a:graphicData uri="http://schemas.openxmlformats.org/drawingml/2006/picture">
                <pic:pic>
                  <pic:nvPicPr>
                    <pic:cNvPr id="0" name="motif_consultation_barres_vert.png"/>
                    <pic:cNvPicPr/>
                  </pic:nvPicPr>
                  <pic:blipFill>
                    <a:blip r:embed="rId18"/>
                    <a:stretch>
                      <a:fillRect/>
                    </a:stretch>
                  </pic:blipFill>
                  <pic:spPr>
                    <a:xfrm>
                      <a:off x="0" y="0"/>
                      <a:ext cx="5029200" cy="3502690"/>
                    </a:xfrm>
                    <a:prstGeom prst="rect"/>
                  </pic:spPr>
                </pic:pic>
              </a:graphicData>
            </a:graphic>
          </wp:inline>
        </w:drawing>
      </w:r>
    </w:p>
    <w:p>
      <w:pPr>
        <w:jc w:val="center"/>
      </w:pPr>
      <w:r>
        <w:t>motif_consultation_barres_vert.png</w:t>
      </w:r>
    </w:p>
    <w:p/>
    <w:p>
      <w:r>
        <w:drawing>
          <wp:inline xmlns:a="http://schemas.openxmlformats.org/drawingml/2006/main" xmlns:pic="http://schemas.openxmlformats.org/drawingml/2006/picture">
            <wp:extent cx="5029200" cy="3502690"/>
            <wp:docPr id="11" name="Picture 11"/>
            <wp:cNvGraphicFramePr>
              <a:graphicFrameLocks noChangeAspect="1"/>
            </wp:cNvGraphicFramePr>
            <a:graphic>
              <a:graphicData uri="http://schemas.openxmlformats.org/drawingml/2006/picture">
                <pic:pic>
                  <pic:nvPicPr>
                    <pic:cNvPr id="0" name="lateralite_barres_vert.png"/>
                    <pic:cNvPicPr/>
                  </pic:nvPicPr>
                  <pic:blipFill>
                    <a:blip r:embed="rId19"/>
                    <a:stretch>
                      <a:fillRect/>
                    </a:stretch>
                  </pic:blipFill>
                  <pic:spPr>
                    <a:xfrm>
                      <a:off x="0" y="0"/>
                      <a:ext cx="5029200" cy="3502690"/>
                    </a:xfrm>
                    <a:prstGeom prst="rect"/>
                  </pic:spPr>
                </pic:pic>
              </a:graphicData>
            </a:graphic>
          </wp:inline>
        </w:drawing>
      </w:r>
    </w:p>
    <w:p>
      <w:pPr>
        <w:jc w:val="center"/>
      </w:pPr>
      <w:r>
        <w:t>lateralite_barres_vert.png</w:t>
      </w:r>
    </w:p>
    <w:p/>
    <w:p>
      <w:r>
        <w:drawing>
          <wp:inline xmlns:a="http://schemas.openxmlformats.org/drawingml/2006/main" xmlns:pic="http://schemas.openxmlformats.org/drawingml/2006/picture">
            <wp:extent cx="5029200" cy="5425869"/>
            <wp:docPr id="12" name="Picture 12"/>
            <wp:cNvGraphicFramePr>
              <a:graphicFrameLocks noChangeAspect="1"/>
            </wp:cNvGraphicFramePr>
            <a:graphic>
              <a:graphicData uri="http://schemas.openxmlformats.org/drawingml/2006/picture">
                <pic:pic>
                  <pic:nvPicPr>
                    <pic:cNvPr id="0" name="type_decollement_donut.png"/>
                    <pic:cNvPicPr/>
                  </pic:nvPicPr>
                  <pic:blipFill>
                    <a:blip r:embed="rId20"/>
                    <a:stretch>
                      <a:fillRect/>
                    </a:stretch>
                  </pic:blipFill>
                  <pic:spPr>
                    <a:xfrm>
                      <a:off x="0" y="0"/>
                      <a:ext cx="5029200" cy="5425869"/>
                    </a:xfrm>
                    <a:prstGeom prst="rect"/>
                  </pic:spPr>
                </pic:pic>
              </a:graphicData>
            </a:graphic>
          </wp:inline>
        </w:drawing>
      </w:r>
    </w:p>
    <w:p>
      <w:pPr>
        <w:jc w:val="center"/>
      </w:pPr>
      <w:r>
        <w:t>type_decollement_donut.png</w:t>
      </w:r>
    </w:p>
    <w:p/>
    <w:p>
      <w:r>
        <w:drawing>
          <wp:inline xmlns:a="http://schemas.openxmlformats.org/drawingml/2006/main" xmlns:pic="http://schemas.openxmlformats.org/drawingml/2006/picture">
            <wp:extent cx="5029200" cy="3502690"/>
            <wp:docPr id="13" name="Picture 13"/>
            <wp:cNvGraphicFramePr>
              <a:graphicFrameLocks noChangeAspect="1"/>
            </wp:cNvGraphicFramePr>
            <a:graphic>
              <a:graphicData uri="http://schemas.openxmlformats.org/drawingml/2006/picture">
                <pic:pic>
                  <pic:nvPicPr>
                    <pic:cNvPr id="0" name="fond_oeil_barres_vert.png"/>
                    <pic:cNvPicPr/>
                  </pic:nvPicPr>
                  <pic:blipFill>
                    <a:blip r:embed="rId21"/>
                    <a:stretch>
                      <a:fillRect/>
                    </a:stretch>
                  </pic:blipFill>
                  <pic:spPr>
                    <a:xfrm>
                      <a:off x="0" y="0"/>
                      <a:ext cx="5029200" cy="3502690"/>
                    </a:xfrm>
                    <a:prstGeom prst="rect"/>
                  </pic:spPr>
                </pic:pic>
              </a:graphicData>
            </a:graphic>
          </wp:inline>
        </w:drawing>
      </w:r>
    </w:p>
    <w:p>
      <w:pPr>
        <w:jc w:val="center"/>
      </w:pPr>
      <w:r>
        <w:t>fond_oeil_barres_vert.png</w:t>
      </w:r>
    </w:p>
    <w:p/>
    <w:p>
      <w:r>
        <w:drawing>
          <wp:inline xmlns:a="http://schemas.openxmlformats.org/drawingml/2006/main" xmlns:pic="http://schemas.openxmlformats.org/drawingml/2006/picture">
            <wp:extent cx="5029200" cy="3502690"/>
            <wp:docPr id="14" name="Picture 14"/>
            <wp:cNvGraphicFramePr>
              <a:graphicFrameLocks noChangeAspect="1"/>
            </wp:cNvGraphicFramePr>
            <a:graphic>
              <a:graphicData uri="http://schemas.openxmlformats.org/drawingml/2006/picture">
                <pic:pic>
                  <pic:nvPicPr>
                    <pic:cNvPr id="0" name="pression_intraoculaire_barres_vert.png"/>
                    <pic:cNvPicPr/>
                  </pic:nvPicPr>
                  <pic:blipFill>
                    <a:blip r:embed="rId22"/>
                    <a:stretch>
                      <a:fillRect/>
                    </a:stretch>
                  </pic:blipFill>
                  <pic:spPr>
                    <a:xfrm>
                      <a:off x="0" y="0"/>
                      <a:ext cx="5029200" cy="3502690"/>
                    </a:xfrm>
                    <a:prstGeom prst="rect"/>
                  </pic:spPr>
                </pic:pic>
              </a:graphicData>
            </a:graphic>
          </wp:inline>
        </w:drawing>
      </w:r>
    </w:p>
    <w:p>
      <w:pPr>
        <w:jc w:val="center"/>
      </w:pPr>
      <w:r>
        <w:t>pression_intraoculaire_barres_vert.png</w:t>
      </w:r>
    </w:p>
    <w:p/>
    <w:p>
      <w:r>
        <w:drawing>
          <wp:inline xmlns:a="http://schemas.openxmlformats.org/drawingml/2006/main" xmlns:pic="http://schemas.openxmlformats.org/drawingml/2006/picture">
            <wp:extent cx="5029200" cy="3502690"/>
            <wp:docPr id="15" name="Picture 15"/>
            <wp:cNvGraphicFramePr>
              <a:graphicFrameLocks noChangeAspect="1"/>
            </wp:cNvGraphicFramePr>
            <a:graphic>
              <a:graphicData uri="http://schemas.openxmlformats.org/drawingml/2006/picture">
                <pic:pic>
                  <pic:nvPicPr>
                    <pic:cNvPr id="0" name="bilan_barres_vert.png"/>
                    <pic:cNvPicPr/>
                  </pic:nvPicPr>
                  <pic:blipFill>
                    <a:blip r:embed="rId23"/>
                    <a:stretch>
                      <a:fillRect/>
                    </a:stretch>
                  </pic:blipFill>
                  <pic:spPr>
                    <a:xfrm>
                      <a:off x="0" y="0"/>
                      <a:ext cx="5029200" cy="3502690"/>
                    </a:xfrm>
                    <a:prstGeom prst="rect"/>
                  </pic:spPr>
                </pic:pic>
              </a:graphicData>
            </a:graphic>
          </wp:inline>
        </w:drawing>
      </w:r>
    </w:p>
    <w:p>
      <w:pPr>
        <w:jc w:val="center"/>
      </w:pPr>
      <w:r>
        <w:t>bilan_barres_vert.png</w:t>
      </w:r>
    </w:p>
    <w:p/>
    <w:p>
      <w:r>
        <w:drawing>
          <wp:inline xmlns:a="http://schemas.openxmlformats.org/drawingml/2006/main" xmlns:pic="http://schemas.openxmlformats.org/drawingml/2006/picture">
            <wp:extent cx="5029200" cy="3502690"/>
            <wp:docPr id="16" name="Picture 16"/>
            <wp:cNvGraphicFramePr>
              <a:graphicFrameLocks noChangeAspect="1"/>
            </wp:cNvGraphicFramePr>
            <a:graphic>
              <a:graphicData uri="http://schemas.openxmlformats.org/drawingml/2006/picture">
                <pic:pic>
                  <pic:nvPicPr>
                    <pic:cNvPr id="0" name="etiologie_barres_vert.png"/>
                    <pic:cNvPicPr/>
                  </pic:nvPicPr>
                  <pic:blipFill>
                    <a:blip r:embed="rId24"/>
                    <a:stretch>
                      <a:fillRect/>
                    </a:stretch>
                  </pic:blipFill>
                  <pic:spPr>
                    <a:xfrm>
                      <a:off x="0" y="0"/>
                      <a:ext cx="5029200" cy="3502690"/>
                    </a:xfrm>
                    <a:prstGeom prst="rect"/>
                  </pic:spPr>
                </pic:pic>
              </a:graphicData>
            </a:graphic>
          </wp:inline>
        </w:drawing>
      </w:r>
    </w:p>
    <w:p>
      <w:pPr>
        <w:jc w:val="center"/>
      </w:pPr>
      <w:r>
        <w:t>etiologie_barres_vert.png</w:t>
      </w:r>
    </w:p>
    <w:p/>
    <w:p>
      <w:r>
        <w:drawing>
          <wp:inline xmlns:a="http://schemas.openxmlformats.org/drawingml/2006/main" xmlns:pic="http://schemas.openxmlformats.org/drawingml/2006/picture">
            <wp:extent cx="5029200" cy="3502690"/>
            <wp:docPr id="17" name="Picture 17"/>
            <wp:cNvGraphicFramePr>
              <a:graphicFrameLocks noChangeAspect="1"/>
            </wp:cNvGraphicFramePr>
            <a:graphic>
              <a:graphicData uri="http://schemas.openxmlformats.org/drawingml/2006/picture">
                <pic:pic>
                  <pic:nvPicPr>
                    <pic:cNvPr id="0" name="prise_en_charge_barres_vert.png"/>
                    <pic:cNvPicPr/>
                  </pic:nvPicPr>
                  <pic:blipFill>
                    <a:blip r:embed="rId25"/>
                    <a:stretch>
                      <a:fillRect/>
                    </a:stretch>
                  </pic:blipFill>
                  <pic:spPr>
                    <a:xfrm>
                      <a:off x="0" y="0"/>
                      <a:ext cx="5029200" cy="3502690"/>
                    </a:xfrm>
                    <a:prstGeom prst="rect"/>
                  </pic:spPr>
                </pic:pic>
              </a:graphicData>
            </a:graphic>
          </wp:inline>
        </w:drawing>
      </w:r>
    </w:p>
    <w:p>
      <w:pPr>
        <w:jc w:val="center"/>
      </w:pPr>
      <w:r>
        <w:t>prise_en_charge_barres_vert.png</w:t>
      </w:r>
    </w:p>
    <w:p/>
    <w:p>
      <w:r>
        <w:drawing>
          <wp:inline xmlns:a="http://schemas.openxmlformats.org/drawingml/2006/main" xmlns:pic="http://schemas.openxmlformats.org/drawingml/2006/picture">
            <wp:extent cx="5029200" cy="3502690"/>
            <wp:docPr id="18" name="Picture 18"/>
            <wp:cNvGraphicFramePr>
              <a:graphicFrameLocks noChangeAspect="1"/>
            </wp:cNvGraphicFramePr>
            <a:graphic>
              <a:graphicData uri="http://schemas.openxmlformats.org/drawingml/2006/picture">
                <pic:pic>
                  <pic:nvPicPr>
                    <pic:cNvPr id="0" name="evolution_barres_vert.png"/>
                    <pic:cNvPicPr/>
                  </pic:nvPicPr>
                  <pic:blipFill>
                    <a:blip r:embed="rId26"/>
                    <a:stretch>
                      <a:fillRect/>
                    </a:stretch>
                  </pic:blipFill>
                  <pic:spPr>
                    <a:xfrm>
                      <a:off x="0" y="0"/>
                      <a:ext cx="5029200" cy="3502690"/>
                    </a:xfrm>
                    <a:prstGeom prst="rect"/>
                  </pic:spPr>
                </pic:pic>
              </a:graphicData>
            </a:graphic>
          </wp:inline>
        </w:drawing>
      </w:r>
    </w:p>
    <w:p>
      <w:pPr>
        <w:jc w:val="center"/>
      </w:pPr>
      <w:r>
        <w:t>evolution_barres_vert.png</w:t>
      </w:r>
    </w:p>
    <w:p/>
    <w:p>
      <w:r>
        <w:br w:type="page"/>
      </w:r>
    </w:p>
    <w:p>
      <w:pPr>
        <w:pStyle w:val="Heading1"/>
      </w:pPr>
      <w:r>
        <w:t>4. Interprétation</w:t>
      </w:r>
    </w:p>
    <w:p>
      <w:pPr>
        <w:pStyle w:val="Heading2"/>
      </w:pPr>
      <w:r>
        <w:t>id</w:t>
      </w:r>
    </w:p>
    <w:p>
      <w:r>
        <w:t>Distribution approximativement symétrique.</w:t>
      </w:r>
    </w:p>
    <w:p>
      <w:pPr>
        <w:pStyle w:val="Heading2"/>
      </w:pPr>
      <w:r>
        <w:t>age</w:t>
      </w:r>
    </w:p>
    <w:p>
      <w:r>
        <w:t>Distribution approximativement symétrique.</w:t>
      </w:r>
    </w:p>
    <w:p>
      <w:r>
        <w:t>Le décollement de la rétine représente 3,5% des pathologies rétiniennes enregistrées à la CELPA. La prédominance masculine (71,4%) et la jeunesse des patients (36,7% entre 16 et 30 ans) s'expliquent par une exposition plus fréquente aux traumatismes oculaires dans cette population. Le traumatisme constitue la principale étiologie (59,2%), confirmant les données africaines sur le sujet. L'évolution défavorable dans 81,6% des cas reflète les limitations diagnostiques et thérapeutiques de notre milieu.</w:t>
      </w:r>
    </w:p>
    <w:p>
      <w:r>
        <w:br w:type="page"/>
      </w:r>
    </w:p>
    <w:p>
      <w:pPr>
        <w:pStyle w:val="Heading1"/>
      </w:pPr>
      <w:r>
        <w:t>5. Annexes</w:t>
      </w:r>
    </w:p>
    <w:p>
      <w:r>
        <w:t>Les données complètes nettoyées sont disponibles dans le fichier Excel joint.</w:t>
      </w:r>
    </w:p>
    <w:p/>
    <w:p>
      <w:r>
        <w:t>Organon Data Solutions — Bukavu</w:t>
      </w:r>
    </w:p>
    <w:p>
      <w:r>
        <w:t>Rapport généré le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