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Prévalence du paludisme chez les enfants de moins de 5 ans à Bukavu</w:t>
      </w:r>
    </w:p>
    <w:p>
      <w:r>
        <w:t>Auteur : Organon Data Solutions</w:t>
      </w:r>
    </w:p>
    <w:p>
      <w:r>
        <w:t>Date   : 2026</w:t>
      </w:r>
    </w:p>
    <w:p>
      <w:r>
        <w:t>Organon Data Solutions — Bukavu</w:t>
      </w:r>
    </w:p>
    <w:p>
      <w:r>
        <w:br w:type="page"/>
      </w:r>
    </w:p>
    <w:p>
      <w:pPr>
        <w:pStyle w:val="Heading1"/>
      </w:pPr>
      <w:r>
        <w:t>1. Contexte et objectifs</w:t>
      </w:r>
    </w:p>
    <w:p>
      <w:pPr>
        <w:pStyle w:val="Heading2"/>
      </w:pPr>
      <w:r>
        <w:t>Contexte</w:t>
      </w:r>
    </w:p>
    <w:p>
      <w:r>
        <w:t>Le paludisme constitue l'une des principales causes de mortalité infantile en République Démocratique du Congo. Cette étude analyse sa prévalence chez les enfants de moins de 5 ans dans trois quartiers de Bukavu : Bagira, Kadutu et Ibanda.</w:t>
      </w:r>
    </w:p>
    <w:p>
      <w:pPr>
        <w:pStyle w:val="Heading2"/>
      </w:pPr>
      <w:r>
        <w:t>Objectifs</w:t>
      </w:r>
    </w:p>
    <w:p>
      <w:r>
        <w:t>Estimer la prévalence du paludisme dans la population pédiatrique de Bukavu. Identifier les facteurs associés — quartier de résidence, sexe, taux d'hémoglobine. Décrire le profil clinique des cas positifs.</w:t>
      </w:r>
    </w:p>
    <w:p>
      <w:pPr>
        <w:pStyle w:val="Heading2"/>
      </w:pPr>
      <w:r>
        <w:t>Population cible</w:t>
      </w:r>
    </w:p>
    <w:p>
      <w:r>
        <w:t>Enfants âgés de 6 à 59 mois consultés dans les centres de santé des quartiers Bagira, Kadutu et Ibanda, Bukavu — RDC.</w:t>
      </w:r>
    </w:p>
    <w:p>
      <w:r>
        <w:br w:type="page"/>
      </w:r>
    </w:p>
    <w:p>
      <w:pPr>
        <w:pStyle w:val="Heading1"/>
      </w:pPr>
      <w:r>
        <w:t>2. Méthodologie</w:t>
      </w:r>
    </w:p>
    <w:p>
      <w:pPr>
        <w:pStyle w:val="Heading2"/>
      </w:pPr>
      <w:r>
        <w:t>Source des données</w:t>
      </w:r>
    </w:p>
    <w:p>
      <w:r>
        <w:t>Données collectées par Organon Data Solutions. Test de diagnostic rapide (TDR) utilisé comme critère de confirmation. Taille de l'échantillon : 30 patients.</w:t>
      </w:r>
    </w:p>
    <w:p>
      <w:pPr>
        <w:pStyle w:val="Heading2"/>
      </w:pPr>
      <w:r>
        <w:t>Traitement des données</w:t>
      </w:r>
    </w:p>
    <w:tbl>
      <w:tblPr>
        <w:tblStyle w:val="TableGrid"/>
        <w:tblW w:type="auto" w:w="0"/>
        <w:tblLook w:firstColumn="1" w:firstRow="1" w:lastColumn="0" w:lastRow="0" w:noHBand="0" w:noVBand="1" w:val="04A0"/>
      </w:tblPr>
      <w:tblGrid>
        <w:gridCol w:w="4320"/>
        <w:gridCol w:w="4320"/>
      </w:tblGrid>
      <w:tr>
        <w:tc>
          <w:tcPr>
            <w:tcW w:type="dxa" w:w="4320"/>
          </w:tcPr>
          <w:p>
            <w:r>
              <w:t>Indicateur</w:t>
            </w:r>
          </w:p>
        </w:tc>
        <w:tc>
          <w:tcPr>
            <w:tcW w:type="dxa" w:w="4320"/>
          </w:tcPr>
          <w:p>
            <w:r>
              <w:t>Valeur</w:t>
            </w:r>
          </w:p>
        </w:tc>
      </w:tr>
      <w:tr>
        <w:tc>
          <w:tcPr>
            <w:tcW w:type="dxa" w:w="4320"/>
          </w:tcPr>
          <w:p>
            <w:r>
              <w:t>Lignes avant</w:t>
            </w:r>
          </w:p>
        </w:tc>
        <w:tc>
          <w:tcPr>
            <w:tcW w:type="dxa" w:w="4320"/>
          </w:tcPr>
          <w:p>
            <w:r>
              <w:t>30</w:t>
            </w:r>
          </w:p>
        </w:tc>
      </w:tr>
      <w:tr>
        <w:tc>
          <w:tcPr>
            <w:tcW w:type="dxa" w:w="4320"/>
          </w:tcPr>
          <w:p>
            <w:r>
              <w:t>Lignes après</w:t>
            </w:r>
          </w:p>
        </w:tc>
        <w:tc>
          <w:tcPr>
            <w:tcW w:type="dxa" w:w="4320"/>
          </w:tcPr>
          <w:p>
            <w:r>
              <w:t>30</w:t>
            </w:r>
          </w:p>
        </w:tc>
      </w:tr>
      <w:tr>
        <w:tc>
          <w:tcPr>
            <w:tcW w:type="dxa" w:w="4320"/>
          </w:tcPr>
          <w:p>
            <w:r>
              <w:t>Doublons supprimés</w:t>
            </w:r>
          </w:p>
        </w:tc>
        <w:tc>
          <w:tcPr>
            <w:tcW w:type="dxa" w:w="4320"/>
          </w:tcPr>
          <w:p>
            <w:r>
              <w:t>0</w:t>
            </w:r>
          </w:p>
        </w:tc>
      </w:tr>
      <w:tr>
        <w:tc>
          <w:tcPr>
            <w:tcW w:type="dxa" w:w="4320"/>
          </w:tcPr>
          <w:p>
            <w:r>
              <w:t>Lignes vides supprimées</w:t>
            </w:r>
          </w:p>
        </w:tc>
        <w:tc>
          <w:tcPr>
            <w:tcW w:type="dxa" w:w="4320"/>
          </w:tcPr>
          <w:p>
            <w:r>
              <w:t>0</w:t>
            </w:r>
          </w:p>
        </w:tc>
      </w:tr>
    </w:tbl>
    <w:p>
      <w:r>
        <w:br w:type="page"/>
      </w:r>
    </w:p>
    <w:p>
      <w:pPr>
        <w:pStyle w:val="Heading1"/>
      </w:pPr>
      <w:r>
        <w:t>3. Résultats</w:t>
      </w:r>
    </w:p>
    <w:p>
      <w:pPr>
        <w:pStyle w:val="Heading2"/>
      </w:pPr>
      <w:r>
        <w:t>3.1 Statistiques descriptives — Variables numériques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Variable</w:t>
            </w:r>
          </w:p>
        </w:tc>
        <w:tc>
          <w:tcPr>
            <w:tcW w:type="dxa" w:w="1080"/>
          </w:tcPr>
          <w:p>
            <w:r>
              <w:t>N</w:t>
            </w:r>
          </w:p>
        </w:tc>
        <w:tc>
          <w:tcPr>
            <w:tcW w:type="dxa" w:w="1080"/>
          </w:tcPr>
          <w:p>
            <w:r>
              <w:t>Moyenne</w:t>
            </w:r>
          </w:p>
        </w:tc>
        <w:tc>
          <w:tcPr>
            <w:tcW w:type="dxa" w:w="1080"/>
          </w:tcPr>
          <w:p>
            <w:r>
              <w:t>Médiane</w:t>
            </w:r>
          </w:p>
        </w:tc>
        <w:tc>
          <w:tcPr>
            <w:tcW w:type="dxa" w:w="1080"/>
          </w:tcPr>
          <w:p>
            <w:r>
              <w:t>Éc.-type</w:t>
            </w:r>
          </w:p>
        </w:tc>
        <w:tc>
          <w:tcPr>
            <w:tcW w:type="dxa" w:w="1080"/>
          </w:tcPr>
          <w:p>
            <w:r>
              <w:t>Min</w:t>
            </w:r>
          </w:p>
        </w:tc>
        <w:tc>
          <w:tcPr>
            <w:tcW w:type="dxa" w:w="1080"/>
          </w:tcPr>
          <w:p>
            <w:r>
              <w:t>Max</w:t>
            </w:r>
          </w:p>
        </w:tc>
        <w:tc>
          <w:tcPr>
            <w:tcW w:type="dxa" w:w="1080"/>
          </w:tcPr>
          <w:p>
            <w:r>
              <w:t>Outliers</w:t>
            </w:r>
          </w:p>
        </w:tc>
      </w:tr>
      <w:tr>
        <w:tc>
          <w:tcPr>
            <w:tcW w:type="dxa" w:w="1080"/>
          </w:tcPr>
          <w:p>
            <w:r>
              <w:t>id</w:t>
            </w:r>
          </w:p>
        </w:tc>
        <w:tc>
          <w:tcPr>
            <w:tcW w:type="dxa" w:w="1080"/>
          </w:tcPr>
          <w:p>
            <w:r>
              <w:t>30</w:t>
            </w:r>
          </w:p>
        </w:tc>
        <w:tc>
          <w:tcPr>
            <w:tcW w:type="dxa" w:w="1080"/>
          </w:tcPr>
          <w:p>
            <w:r>
              <w:t>15.5</w:t>
            </w:r>
          </w:p>
        </w:tc>
        <w:tc>
          <w:tcPr>
            <w:tcW w:type="dxa" w:w="1080"/>
          </w:tcPr>
          <w:p>
            <w:r>
              <w:t>15.5</w:t>
            </w:r>
          </w:p>
        </w:tc>
        <w:tc>
          <w:tcPr>
            <w:tcW w:type="dxa" w:w="1080"/>
          </w:tcPr>
          <w:p>
            <w:r>
              <w:t>8.803</w:t>
            </w:r>
          </w:p>
        </w:tc>
        <w:tc>
          <w:tcPr>
            <w:tcW w:type="dxa" w:w="1080"/>
          </w:tcPr>
          <w:p>
            <w:r>
              <w:t>1</w:t>
            </w:r>
          </w:p>
        </w:tc>
        <w:tc>
          <w:tcPr>
            <w:tcW w:type="dxa" w:w="1080"/>
          </w:tcPr>
          <w:p>
            <w:r>
              <w:t>30</w:t>
            </w:r>
          </w:p>
        </w:tc>
        <w:tc>
          <w:tcPr>
            <w:tcW w:type="dxa" w:w="1080"/>
          </w:tcPr>
          <w:p>
            <w:r>
              <w:t>0</w:t>
            </w:r>
          </w:p>
        </w:tc>
      </w:tr>
      <w:tr>
        <w:tc>
          <w:tcPr>
            <w:tcW w:type="dxa" w:w="1080"/>
          </w:tcPr>
          <w:p>
            <w:r>
              <w:t>age_mois</w:t>
            </w:r>
          </w:p>
        </w:tc>
        <w:tc>
          <w:tcPr>
            <w:tcW w:type="dxa" w:w="1080"/>
          </w:tcPr>
          <w:p>
            <w:r>
              <w:t>30</w:t>
            </w:r>
          </w:p>
        </w:tc>
        <w:tc>
          <w:tcPr>
            <w:tcW w:type="dxa" w:w="1080"/>
          </w:tcPr>
          <w:p>
            <w:r>
              <w:t>28.3</w:t>
            </w:r>
          </w:p>
        </w:tc>
        <w:tc>
          <w:tcPr>
            <w:tcW w:type="dxa" w:w="1080"/>
          </w:tcPr>
          <w:p>
            <w:r>
              <w:t>27.0</w:t>
            </w:r>
          </w:p>
        </w:tc>
        <w:tc>
          <w:tcPr>
            <w:tcW w:type="dxa" w:w="1080"/>
          </w:tcPr>
          <w:p>
            <w:r>
              <w:t>15.066</w:t>
            </w:r>
          </w:p>
        </w:tc>
        <w:tc>
          <w:tcPr>
            <w:tcW w:type="dxa" w:w="1080"/>
          </w:tcPr>
          <w:p>
            <w:r>
              <w:t>6</w:t>
            </w:r>
          </w:p>
        </w:tc>
        <w:tc>
          <w:tcPr>
            <w:tcW w:type="dxa" w:w="1080"/>
          </w:tcPr>
          <w:p>
            <w:r>
              <w:t>54</w:t>
            </w:r>
          </w:p>
        </w:tc>
        <w:tc>
          <w:tcPr>
            <w:tcW w:type="dxa" w:w="1080"/>
          </w:tcPr>
          <w:p>
            <w:r>
              <w:t>0</w:t>
            </w:r>
          </w:p>
        </w:tc>
      </w:tr>
      <w:tr>
        <w:tc>
          <w:tcPr>
            <w:tcW w:type="dxa" w:w="1080"/>
          </w:tcPr>
          <w:p>
            <w:r>
              <w:t>hemoglobine</w:t>
            </w:r>
          </w:p>
        </w:tc>
        <w:tc>
          <w:tcPr>
            <w:tcW w:type="dxa" w:w="1080"/>
          </w:tcPr>
          <w:p>
            <w:r>
              <w:t>30</w:t>
            </w:r>
          </w:p>
        </w:tc>
        <w:tc>
          <w:tcPr>
            <w:tcW w:type="dxa" w:w="1080"/>
          </w:tcPr>
          <w:p>
            <w:r>
              <w:t>9.5</w:t>
            </w:r>
          </w:p>
        </w:tc>
        <w:tc>
          <w:tcPr>
            <w:tcW w:type="dxa" w:w="1080"/>
          </w:tcPr>
          <w:p>
            <w:r>
              <w:t>8.85</w:t>
            </w:r>
          </w:p>
        </w:tc>
        <w:tc>
          <w:tcPr>
            <w:tcW w:type="dxa" w:w="1080"/>
          </w:tcPr>
          <w:p>
            <w:r>
              <w:t>2.137</w:t>
            </w:r>
          </w:p>
        </w:tc>
        <w:tc>
          <w:tcPr>
            <w:tcW w:type="dxa" w:w="1080"/>
          </w:tcPr>
          <w:p>
            <w:r>
              <w:t>6.5</w:t>
            </w:r>
          </w:p>
        </w:tc>
        <w:tc>
          <w:tcPr>
            <w:tcW w:type="dxa" w:w="1080"/>
          </w:tcPr>
          <w:p>
            <w:r>
              <w:t>12.6</w:t>
            </w:r>
          </w:p>
        </w:tc>
        <w:tc>
          <w:tcPr>
            <w:tcW w:type="dxa" w:w="1080"/>
          </w:tcPr>
          <w:p>
            <w:r>
              <w:t>0</w:t>
            </w:r>
          </w:p>
        </w:tc>
      </w:tr>
    </w:tbl>
    <w:p>
      <w:pPr>
        <w:pStyle w:val="Heading2"/>
      </w:pPr>
      <w:r>
        <w:t>3.2 Statistiques descriptives — Variables catégorielles</w:t>
      </w:r>
    </w:p>
    <w:p>
      <w:r>
        <w:t>Variable : sexe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M</w:t>
            </w:r>
          </w:p>
        </w:tc>
        <w:tc>
          <w:tcPr>
            <w:tcW w:type="dxa" w:w="2880"/>
          </w:tcPr>
          <w:p>
            <w:r>
              <w:t>15</w:t>
            </w:r>
          </w:p>
        </w:tc>
        <w:tc>
          <w:tcPr>
            <w:tcW w:type="dxa" w:w="2880"/>
          </w:tcPr>
          <w:p>
            <w:r>
              <w:t>50.0%</w:t>
            </w:r>
          </w:p>
        </w:tc>
      </w:tr>
      <w:tr>
        <w:tc>
          <w:tcPr>
            <w:tcW w:type="dxa" w:w="2880"/>
          </w:tcPr>
          <w:p>
            <w:r>
              <w:t>F</w:t>
            </w:r>
          </w:p>
        </w:tc>
        <w:tc>
          <w:tcPr>
            <w:tcW w:type="dxa" w:w="2880"/>
          </w:tcPr>
          <w:p>
            <w:r>
              <w:t>15</w:t>
            </w:r>
          </w:p>
        </w:tc>
        <w:tc>
          <w:tcPr>
            <w:tcW w:type="dxa" w:w="2880"/>
          </w:tcPr>
          <w:p>
            <w:r>
              <w:t>50.0%</w:t>
            </w:r>
          </w:p>
        </w:tc>
      </w:tr>
    </w:tbl>
    <w:p>
      <w:r>
        <w:t>Variable : quartier</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Bagira</w:t>
            </w:r>
          </w:p>
        </w:tc>
        <w:tc>
          <w:tcPr>
            <w:tcW w:type="dxa" w:w="2880"/>
          </w:tcPr>
          <w:p>
            <w:r>
              <w:t>10</w:t>
            </w:r>
          </w:p>
        </w:tc>
        <w:tc>
          <w:tcPr>
            <w:tcW w:type="dxa" w:w="2880"/>
          </w:tcPr>
          <w:p>
            <w:r>
              <w:t>33.3%</w:t>
            </w:r>
          </w:p>
        </w:tc>
      </w:tr>
      <w:tr>
        <w:tc>
          <w:tcPr>
            <w:tcW w:type="dxa" w:w="2880"/>
          </w:tcPr>
          <w:p>
            <w:r>
              <w:t>Kadutu</w:t>
            </w:r>
          </w:p>
        </w:tc>
        <w:tc>
          <w:tcPr>
            <w:tcW w:type="dxa" w:w="2880"/>
          </w:tcPr>
          <w:p>
            <w:r>
              <w:t>10</w:t>
            </w:r>
          </w:p>
        </w:tc>
        <w:tc>
          <w:tcPr>
            <w:tcW w:type="dxa" w:w="2880"/>
          </w:tcPr>
          <w:p>
            <w:r>
              <w:t>33.3%</w:t>
            </w:r>
          </w:p>
        </w:tc>
      </w:tr>
      <w:tr>
        <w:tc>
          <w:tcPr>
            <w:tcW w:type="dxa" w:w="2880"/>
          </w:tcPr>
          <w:p>
            <w:r>
              <w:t>Ibanda</w:t>
            </w:r>
          </w:p>
        </w:tc>
        <w:tc>
          <w:tcPr>
            <w:tcW w:type="dxa" w:w="2880"/>
          </w:tcPr>
          <w:p>
            <w:r>
              <w:t>10</w:t>
            </w:r>
          </w:p>
        </w:tc>
        <w:tc>
          <w:tcPr>
            <w:tcW w:type="dxa" w:w="2880"/>
          </w:tcPr>
          <w:p>
            <w:r>
              <w:t>33.3%</w:t>
            </w:r>
          </w:p>
        </w:tc>
      </w:tr>
    </w:tbl>
    <w:p>
      <w:r>
        <w:t>Variable : test_tdr</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Positif</w:t>
            </w:r>
          </w:p>
        </w:tc>
        <w:tc>
          <w:tcPr>
            <w:tcW w:type="dxa" w:w="2880"/>
          </w:tcPr>
          <w:p>
            <w:r>
              <w:t>18</w:t>
            </w:r>
          </w:p>
        </w:tc>
        <w:tc>
          <w:tcPr>
            <w:tcW w:type="dxa" w:w="2880"/>
          </w:tcPr>
          <w:p>
            <w:r>
              <w:t>60.0%</w:t>
            </w:r>
          </w:p>
        </w:tc>
      </w:tr>
      <w:tr>
        <w:tc>
          <w:tcPr>
            <w:tcW w:type="dxa" w:w="2880"/>
          </w:tcPr>
          <w:p>
            <w:r>
              <w:t>Negatif</w:t>
            </w:r>
          </w:p>
        </w:tc>
        <w:tc>
          <w:tcPr>
            <w:tcW w:type="dxa" w:w="2880"/>
          </w:tcPr>
          <w:p>
            <w:r>
              <w:t>12</w:t>
            </w:r>
          </w:p>
        </w:tc>
        <w:tc>
          <w:tcPr>
            <w:tcW w:type="dxa" w:w="2880"/>
          </w:tcPr>
          <w:p>
            <w:r>
              <w:t>40.0%</w:t>
            </w:r>
          </w:p>
        </w:tc>
      </w:tr>
    </w:tbl>
    <w:p>
      <w:r>
        <w:t>Variable : resultat</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Paludisme</w:t>
            </w:r>
          </w:p>
        </w:tc>
        <w:tc>
          <w:tcPr>
            <w:tcW w:type="dxa" w:w="2880"/>
          </w:tcPr>
          <w:p>
            <w:r>
              <w:t>18</w:t>
            </w:r>
          </w:p>
        </w:tc>
        <w:tc>
          <w:tcPr>
            <w:tcW w:type="dxa" w:w="2880"/>
          </w:tcPr>
          <w:p>
            <w:r>
              <w:t>60.0%</w:t>
            </w:r>
          </w:p>
        </w:tc>
      </w:tr>
      <w:tr>
        <w:tc>
          <w:tcPr>
            <w:tcW w:type="dxa" w:w="2880"/>
          </w:tcPr>
          <w:p>
            <w:r>
              <w:t>Sain</w:t>
            </w:r>
          </w:p>
        </w:tc>
        <w:tc>
          <w:tcPr>
            <w:tcW w:type="dxa" w:w="2880"/>
          </w:tcPr>
          <w:p>
            <w:r>
              <w:t>12</w:t>
            </w:r>
          </w:p>
        </w:tc>
        <w:tc>
          <w:tcPr>
            <w:tcW w:type="dxa" w:w="2880"/>
          </w:tcPr>
          <w:p>
            <w:r>
              <w:t>40.0%</w:t>
            </w:r>
          </w:p>
        </w:tc>
      </w:tr>
    </w:tbl>
    <w:p>
      <w:r>
        <w:t>Variable : hospitalise</w:t>
      </w:r>
    </w:p>
    <w:tbl>
      <w:tblPr>
        <w:tblStyle w:val="TableGrid"/>
        <w:tblW w:type="auto" w:w="0"/>
        <w:tblLook w:firstColumn="1" w:firstRow="1" w:lastColumn="0" w:lastRow="0" w:noHBand="0" w:noVBand="1" w:val="04A0"/>
      </w:tblPr>
      <w:tblGrid>
        <w:gridCol w:w="2880"/>
        <w:gridCol w:w="2880"/>
        <w:gridCol w:w="2880"/>
      </w:tblGrid>
      <w:tr>
        <w:tc>
          <w:tcPr>
            <w:tcW w:type="dxa" w:w="2880"/>
          </w:tcPr>
          <w:p>
            <w:r>
              <w:t>Modalité</w:t>
            </w:r>
          </w:p>
        </w:tc>
        <w:tc>
          <w:tcPr>
            <w:tcW w:type="dxa" w:w="2880"/>
          </w:tcPr>
          <w:p>
            <w:r>
              <w:t>Effectif</w:t>
            </w:r>
          </w:p>
        </w:tc>
        <w:tc>
          <w:tcPr>
            <w:tcW w:type="dxa" w:w="2880"/>
          </w:tcPr>
          <w:p>
            <w:r>
              <w:t>Pourcentage</w:t>
            </w:r>
          </w:p>
        </w:tc>
      </w:tr>
      <w:tr>
        <w:tc>
          <w:tcPr>
            <w:tcW w:type="dxa" w:w="2880"/>
          </w:tcPr>
          <w:p>
            <w:r>
              <w:t>Non</w:t>
            </w:r>
          </w:p>
        </w:tc>
        <w:tc>
          <w:tcPr>
            <w:tcW w:type="dxa" w:w="2880"/>
          </w:tcPr>
          <w:p>
            <w:r>
              <w:t>19</w:t>
            </w:r>
          </w:p>
        </w:tc>
        <w:tc>
          <w:tcPr>
            <w:tcW w:type="dxa" w:w="2880"/>
          </w:tcPr>
          <w:p>
            <w:r>
              <w:t>63.3%</w:t>
            </w:r>
          </w:p>
        </w:tc>
      </w:tr>
      <w:tr>
        <w:tc>
          <w:tcPr>
            <w:tcW w:type="dxa" w:w="2880"/>
          </w:tcPr>
          <w:p>
            <w:r>
              <w:t>Oui</w:t>
            </w:r>
          </w:p>
        </w:tc>
        <w:tc>
          <w:tcPr>
            <w:tcW w:type="dxa" w:w="2880"/>
          </w:tcPr>
          <w:p>
            <w:r>
              <w:t>11</w:t>
            </w:r>
          </w:p>
        </w:tc>
        <w:tc>
          <w:tcPr>
            <w:tcW w:type="dxa" w:w="2880"/>
          </w:tcPr>
          <w:p>
            <w:r>
              <w:t>36.7%</w:t>
            </w:r>
          </w:p>
        </w:tc>
      </w:tr>
    </w:tbl>
    <w:p>
      <w:r>
        <w:br w:type="page"/>
      </w:r>
    </w:p>
    <w:p>
      <w:pPr>
        <w:pStyle w:val="Heading2"/>
      </w:pPr>
      <w:r>
        <w:t>3.3 Visualisations</w:t>
      </w:r>
    </w:p>
    <w:p>
      <w:r>
        <w:drawing>
          <wp:inline xmlns:a="http://schemas.openxmlformats.org/drawingml/2006/main" xmlns:pic="http://schemas.openxmlformats.org/drawingml/2006/picture">
            <wp:extent cx="5029200" cy="3367971"/>
            <wp:docPr id="1" name="Picture 1"/>
            <wp:cNvGraphicFramePr>
              <a:graphicFrameLocks noChangeAspect="1"/>
            </wp:cNvGraphicFramePr>
            <a:graphic>
              <a:graphicData uri="http://schemas.openxmlformats.org/drawingml/2006/picture">
                <pic:pic>
                  <pic:nvPicPr>
                    <pic:cNvPr id="0" name="age_mois_densite.png"/>
                    <pic:cNvPicPr/>
                  </pic:nvPicPr>
                  <pic:blipFill>
                    <a:blip r:embed="rId9"/>
                    <a:stretch>
                      <a:fillRect/>
                    </a:stretch>
                  </pic:blipFill>
                  <pic:spPr>
                    <a:xfrm>
                      <a:off x="0" y="0"/>
                      <a:ext cx="5029200" cy="3367971"/>
                    </a:xfrm>
                    <a:prstGeom prst="rect"/>
                  </pic:spPr>
                </pic:pic>
              </a:graphicData>
            </a:graphic>
          </wp:inline>
        </w:drawing>
      </w:r>
    </w:p>
    <w:p>
      <w:pPr>
        <w:jc w:val="center"/>
      </w:pPr>
      <w:r>
        <w:t>age_mois_densite.png</w:t>
      </w:r>
    </w:p>
    <w:p/>
    <w:p>
      <w:r>
        <w:drawing>
          <wp:inline xmlns:a="http://schemas.openxmlformats.org/drawingml/2006/main" xmlns:pic="http://schemas.openxmlformats.org/drawingml/2006/picture">
            <wp:extent cx="5029200" cy="3502690"/>
            <wp:docPr id="2" name="Picture 2"/>
            <wp:cNvGraphicFramePr>
              <a:graphicFrameLocks noChangeAspect="1"/>
            </wp:cNvGraphicFramePr>
            <a:graphic>
              <a:graphicData uri="http://schemas.openxmlformats.org/drawingml/2006/picture">
                <pic:pic>
                  <pic:nvPicPr>
                    <pic:cNvPr id="0" name="sexe_barres_vert.png"/>
                    <pic:cNvPicPr/>
                  </pic:nvPicPr>
                  <pic:blipFill>
                    <a:blip r:embed="rId10"/>
                    <a:stretch>
                      <a:fillRect/>
                    </a:stretch>
                  </pic:blipFill>
                  <pic:spPr>
                    <a:xfrm>
                      <a:off x="0" y="0"/>
                      <a:ext cx="5029200" cy="3502690"/>
                    </a:xfrm>
                    <a:prstGeom prst="rect"/>
                  </pic:spPr>
                </pic:pic>
              </a:graphicData>
            </a:graphic>
          </wp:inline>
        </w:drawing>
      </w:r>
    </w:p>
    <w:p>
      <w:pPr>
        <w:jc w:val="center"/>
      </w:pPr>
      <w:r>
        <w:t>sexe_barres_vert.png</w:t>
      </w:r>
    </w:p>
    <w:p/>
    <w:p>
      <w:r>
        <w:drawing>
          <wp:inline xmlns:a="http://schemas.openxmlformats.org/drawingml/2006/main" xmlns:pic="http://schemas.openxmlformats.org/drawingml/2006/picture">
            <wp:extent cx="5029200" cy="5425869"/>
            <wp:docPr id="3" name="Picture 3"/>
            <wp:cNvGraphicFramePr>
              <a:graphicFrameLocks noChangeAspect="1"/>
            </wp:cNvGraphicFramePr>
            <a:graphic>
              <a:graphicData uri="http://schemas.openxmlformats.org/drawingml/2006/picture">
                <pic:pic>
                  <pic:nvPicPr>
                    <pic:cNvPr id="0" name="quartier_donut.png"/>
                    <pic:cNvPicPr/>
                  </pic:nvPicPr>
                  <pic:blipFill>
                    <a:blip r:embed="rId11"/>
                    <a:stretch>
                      <a:fillRect/>
                    </a:stretch>
                  </pic:blipFill>
                  <pic:spPr>
                    <a:xfrm>
                      <a:off x="0" y="0"/>
                      <a:ext cx="5029200" cy="5425869"/>
                    </a:xfrm>
                    <a:prstGeom prst="rect"/>
                  </pic:spPr>
                </pic:pic>
              </a:graphicData>
            </a:graphic>
          </wp:inline>
        </w:drawing>
      </w:r>
    </w:p>
    <w:p>
      <w:pPr>
        <w:jc w:val="center"/>
      </w:pPr>
      <w:r>
        <w:t>quartier_donut.png</w:t>
      </w:r>
    </w:p>
    <w:p/>
    <w:p>
      <w:r>
        <w:drawing>
          <wp:inline xmlns:a="http://schemas.openxmlformats.org/drawingml/2006/main" xmlns:pic="http://schemas.openxmlformats.org/drawingml/2006/picture">
            <wp:extent cx="5029200" cy="3443940"/>
            <wp:docPr id="4" name="Picture 4"/>
            <wp:cNvGraphicFramePr>
              <a:graphicFrameLocks noChangeAspect="1"/>
            </wp:cNvGraphicFramePr>
            <a:graphic>
              <a:graphicData uri="http://schemas.openxmlformats.org/drawingml/2006/picture">
                <pic:pic>
                  <pic:nvPicPr>
                    <pic:cNvPr id="0" name="test_tdr_barres_vert.png"/>
                    <pic:cNvPicPr/>
                  </pic:nvPicPr>
                  <pic:blipFill>
                    <a:blip r:embed="rId12"/>
                    <a:stretch>
                      <a:fillRect/>
                    </a:stretch>
                  </pic:blipFill>
                  <pic:spPr>
                    <a:xfrm>
                      <a:off x="0" y="0"/>
                      <a:ext cx="5029200" cy="3443940"/>
                    </a:xfrm>
                    <a:prstGeom prst="rect"/>
                  </pic:spPr>
                </pic:pic>
              </a:graphicData>
            </a:graphic>
          </wp:inline>
        </w:drawing>
      </w:r>
    </w:p>
    <w:p>
      <w:pPr>
        <w:jc w:val="center"/>
      </w:pPr>
      <w:r>
        <w:t>test_tdr_barres_vert.png</w:t>
      </w:r>
    </w:p>
    <w:p/>
    <w:p>
      <w:r>
        <w:drawing>
          <wp:inline xmlns:a="http://schemas.openxmlformats.org/drawingml/2006/main" xmlns:pic="http://schemas.openxmlformats.org/drawingml/2006/picture">
            <wp:extent cx="5029200" cy="3443940"/>
            <wp:docPr id="5" name="Picture 5"/>
            <wp:cNvGraphicFramePr>
              <a:graphicFrameLocks noChangeAspect="1"/>
            </wp:cNvGraphicFramePr>
            <a:graphic>
              <a:graphicData uri="http://schemas.openxmlformats.org/drawingml/2006/picture">
                <pic:pic>
                  <pic:nvPicPr>
                    <pic:cNvPr id="0" name="resultat_barres_vert.png"/>
                    <pic:cNvPicPr/>
                  </pic:nvPicPr>
                  <pic:blipFill>
                    <a:blip r:embed="rId13"/>
                    <a:stretch>
                      <a:fillRect/>
                    </a:stretch>
                  </pic:blipFill>
                  <pic:spPr>
                    <a:xfrm>
                      <a:off x="0" y="0"/>
                      <a:ext cx="5029200" cy="3443940"/>
                    </a:xfrm>
                    <a:prstGeom prst="rect"/>
                  </pic:spPr>
                </pic:pic>
              </a:graphicData>
            </a:graphic>
          </wp:inline>
        </w:drawing>
      </w:r>
    </w:p>
    <w:p>
      <w:pPr>
        <w:jc w:val="center"/>
      </w:pPr>
      <w:r>
        <w:t>resultat_barres_vert.png</w:t>
      </w:r>
    </w:p>
    <w:p/>
    <w:p>
      <w:r>
        <w:drawing>
          <wp:inline xmlns:a="http://schemas.openxmlformats.org/drawingml/2006/main" xmlns:pic="http://schemas.openxmlformats.org/drawingml/2006/picture">
            <wp:extent cx="5029200" cy="3494717"/>
            <wp:docPr id="6" name="Picture 6"/>
            <wp:cNvGraphicFramePr>
              <a:graphicFrameLocks noChangeAspect="1"/>
            </wp:cNvGraphicFramePr>
            <a:graphic>
              <a:graphicData uri="http://schemas.openxmlformats.org/drawingml/2006/picture">
                <pic:pic>
                  <pic:nvPicPr>
                    <pic:cNvPr id="0" name="hemoglobine_boxplot.png"/>
                    <pic:cNvPicPr/>
                  </pic:nvPicPr>
                  <pic:blipFill>
                    <a:blip r:embed="rId14"/>
                    <a:stretch>
                      <a:fillRect/>
                    </a:stretch>
                  </pic:blipFill>
                  <pic:spPr>
                    <a:xfrm>
                      <a:off x="0" y="0"/>
                      <a:ext cx="5029200" cy="3494717"/>
                    </a:xfrm>
                    <a:prstGeom prst="rect"/>
                  </pic:spPr>
                </pic:pic>
              </a:graphicData>
            </a:graphic>
          </wp:inline>
        </w:drawing>
      </w:r>
    </w:p>
    <w:p>
      <w:pPr>
        <w:jc w:val="center"/>
      </w:pPr>
      <w:r>
        <w:t>hemoglobine_boxplot.png</w:t>
      </w:r>
    </w:p>
    <w:p/>
    <w:p>
      <w:r>
        <w:drawing>
          <wp:inline xmlns:a="http://schemas.openxmlformats.org/drawingml/2006/main" xmlns:pic="http://schemas.openxmlformats.org/drawingml/2006/picture">
            <wp:extent cx="5029200" cy="3443940"/>
            <wp:docPr id="7" name="Picture 7"/>
            <wp:cNvGraphicFramePr>
              <a:graphicFrameLocks noChangeAspect="1"/>
            </wp:cNvGraphicFramePr>
            <a:graphic>
              <a:graphicData uri="http://schemas.openxmlformats.org/drawingml/2006/picture">
                <pic:pic>
                  <pic:nvPicPr>
                    <pic:cNvPr id="0" name="hospitalise_barres_vert.png"/>
                    <pic:cNvPicPr/>
                  </pic:nvPicPr>
                  <pic:blipFill>
                    <a:blip r:embed="rId15"/>
                    <a:stretch>
                      <a:fillRect/>
                    </a:stretch>
                  </pic:blipFill>
                  <pic:spPr>
                    <a:xfrm>
                      <a:off x="0" y="0"/>
                      <a:ext cx="5029200" cy="3443940"/>
                    </a:xfrm>
                    <a:prstGeom prst="rect"/>
                  </pic:spPr>
                </pic:pic>
              </a:graphicData>
            </a:graphic>
          </wp:inline>
        </w:drawing>
      </w:r>
    </w:p>
    <w:p>
      <w:pPr>
        <w:jc w:val="center"/>
      </w:pPr>
      <w:r>
        <w:t>hospitalise_barres_vert.png</w:t>
      </w:r>
    </w:p>
    <w:p/>
    <w:p>
      <w:r>
        <w:drawing>
          <wp:inline xmlns:a="http://schemas.openxmlformats.org/drawingml/2006/main" xmlns:pic="http://schemas.openxmlformats.org/drawingml/2006/picture">
            <wp:extent cx="5029200" cy="3404559"/>
            <wp:docPr id="8" name="Picture 8"/>
            <wp:cNvGraphicFramePr>
              <a:graphicFrameLocks noChangeAspect="1"/>
            </wp:cNvGraphicFramePr>
            <a:graphic>
              <a:graphicData uri="http://schemas.openxmlformats.org/drawingml/2006/picture">
                <pic:pic>
                  <pic:nvPicPr>
                    <pic:cNvPr id="0" name="age_mois_par_quartier_densite.png"/>
                    <pic:cNvPicPr/>
                  </pic:nvPicPr>
                  <pic:blipFill>
                    <a:blip r:embed="rId16"/>
                    <a:stretch>
                      <a:fillRect/>
                    </a:stretch>
                  </pic:blipFill>
                  <pic:spPr>
                    <a:xfrm>
                      <a:off x="0" y="0"/>
                      <a:ext cx="5029200" cy="3404559"/>
                    </a:xfrm>
                    <a:prstGeom prst="rect"/>
                  </pic:spPr>
                </pic:pic>
              </a:graphicData>
            </a:graphic>
          </wp:inline>
        </w:drawing>
      </w:r>
    </w:p>
    <w:p>
      <w:pPr>
        <w:jc w:val="center"/>
      </w:pPr>
      <w:r>
        <w:t>age_mois_par_quartier_densite.png</w:t>
      </w:r>
    </w:p>
    <w:p/>
    <w:p>
      <w:r>
        <w:br w:type="page"/>
      </w:r>
    </w:p>
    <w:p>
      <w:pPr>
        <w:pStyle w:val="Heading1"/>
      </w:pPr>
      <w:r>
        <w:t>4. Interprétation</w:t>
      </w:r>
    </w:p>
    <w:p>
      <w:pPr>
        <w:pStyle w:val="Heading2"/>
      </w:pPr>
      <w:r>
        <w:t>id</w:t>
      </w:r>
    </w:p>
    <w:p>
      <w:r>
        <w:t>Distribution approximativement symétrique.</w:t>
      </w:r>
    </w:p>
    <w:p>
      <w:pPr>
        <w:pStyle w:val="Heading2"/>
      </w:pPr>
      <w:r>
        <w:t>age_mois</w:t>
      </w:r>
    </w:p>
    <w:p>
      <w:r>
        <w:t>Distribution approximativement symétrique.</w:t>
      </w:r>
    </w:p>
    <w:p>
      <w:pPr>
        <w:pStyle w:val="Heading2"/>
      </w:pPr>
      <w:r>
        <w:t>hemoglobine</w:t>
      </w:r>
    </w:p>
    <w:p>
      <w:r>
        <w:t>Distribution approximativement symétrique.</w:t>
      </w:r>
    </w:p>
    <w:p>
      <w:r>
        <w:t>Ces résultats confirment une charge palustre élevée dans la population pédiatrique de Bukavu, cohérente avec les données épidémiologiques de la région des Grands Lacs. Une attention particulière devrait être portée au quartier de Bagira qui concentre le plus grand nombre de cas positifs.</w:t>
      </w:r>
    </w:p>
    <w:p>
      <w:r>
        <w:br w:type="page"/>
      </w:r>
    </w:p>
    <w:p>
      <w:pPr>
        <w:pStyle w:val="Heading1"/>
      </w:pPr>
      <w:r>
        <w:t>5. Annexes</w:t>
      </w:r>
    </w:p>
    <w:p>
      <w:r>
        <w:t>Les données complètes nettoyées sont disponibles dans le fichier Excel joint.</w:t>
      </w:r>
    </w:p>
    <w:p/>
    <w:p>
      <w:r>
        <w:t>Organon Data Solutions — Bukavu</w:t>
      </w:r>
    </w:p>
    <w:p>
      <w:r>
        <w:t>Rapport généré 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