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3" w:name="company-radar"/>
    <w:p>
      <w:pPr>
        <w:pStyle w:val="Heading1"/>
      </w:pPr>
      <w:r>
        <w:rPr>
          <w:rFonts w:ascii="Calibri" w:hAnsi="Calibri"/>
          <w:b/>
          <w:color w:val="0B1D2B"/>
        </w:rPr>
        <w:t xml:space="preserve">Company Radar</w:t>
      </w:r>
    </w:p>
    <w:bookmarkStart w:id="20" w:name="X490507683422b464b3d3cef3d6c4a4d05608b29"/>
    <w:p>
      <w:pPr>
        <w:pStyle w:val="Heading2"/>
      </w:pPr>
      <w:r>
        <w:rPr>
          <w:rFonts w:ascii="Calibri" w:hAnsi="Calibri"/>
          <w:b/>
          <w:color w:val="175D7B"/>
        </w:rPr>
        <w:t xml:space="preserve">Especificação funcional e técnica completa do MVP vendável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30 de julho de 2026</w:t>
      </w:r>
      <w:r>
        <w:br/>
      </w:r>
      <w:r>
        <w:rPr>
          <w:bCs/>
          <w:b/>
        </w:rPr>
        <w:t xml:space="preserve">Público inicial:</w:t>
      </w:r>
      <w:r>
        <w:t xml:space="preserve"> </w:t>
      </w:r>
      <w:r>
        <w:t xml:space="preserve">escritórios contábeis</w:t>
      </w:r>
      <w:r>
        <w:br/>
      </w:r>
      <w:r>
        <w:rPr>
          <w:bCs/>
          <w:b/>
        </w:rPr>
        <w:t xml:space="preserve">Base obrigatória:</w:t>
      </w:r>
      <w:r>
        <w:t xml:space="preserve"> </w:t>
      </w:r>
      <w:r>
        <w:t xml:space="preserve">Company Core</w:t>
      </w:r>
      <w:r>
        <w:br/>
      </w:r>
      <w:r>
        <w:rPr>
          <w:bCs/>
          <w:b/>
        </w:rPr>
        <w:t xml:space="preserve">Produto:</w:t>
      </w:r>
      <w:r>
        <w:t xml:space="preserve"> </w:t>
      </w:r>
      <w:r>
        <w:t xml:space="preserve">SaaS multitenant de padronização operacional e controle de prazos</w:t>
      </w:r>
    </w:p>
    <w:p>
      <w:r>
        <w:pict>
          <v:rect style="width:0;height:1.5pt" o:hralign="center" o:hrstd="t" o:hr="t"/>
        </w:pict>
      </w:r>
    </w:p>
    <w:bookmarkEnd w:id="20"/>
    <w:bookmarkStart w:id="21" w:name="X5d2ce6c614989ea5de2b9fe1e60fc845554f066"/>
    <w:p>
      <w:pPr>
        <w:pStyle w:val="Heading2"/>
      </w:pPr>
      <w:r>
        <w:rPr>
          <w:rFonts w:ascii="Calibri" w:hAnsi="Calibri"/>
          <w:b/>
          <w:color w:val="175D7B"/>
        </w:rPr>
        <w:t xml:space="preserve">1. Decisão fundamental e instrução obrigatória</w:t>
      </w:r>
    </w:p>
    <w:p>
      <w:pPr>
        <w:pStyle w:val="BlockText"/>
      </w:pPr>
      <w:r>
        <w:rPr>
          <w:bCs/>
          <w:b/>
        </w:rPr>
        <w:t xml:space="preserve">REQUISITO OBRIGATÓRIO E NÃO NEGOCIÁVEL:</w:t>
      </w:r>
      <w:r>
        <w:t xml:space="preserve"> </w:t>
      </w:r>
      <w:r>
        <w:t xml:space="preserve">o desenvolvimento do Company Radar deve começar clonando o repositório existente:</w:t>
      </w:r>
    </w:p>
    <w:p>
      <w:pPr>
        <w:pStyle w:val="BlockText"/>
      </w:pPr>
      <w:r>
        <w:rPr>
          <w:rStyle w:val="VerbatimChar"/>
        </w:rPr>
        <w:t xml:space="preserve">git clone https://github.com/alc-br/company-core.git</w:t>
      </w:r>
    </w:p>
    <w:p>
      <w:pPr>
        <w:pStyle w:val="BlockText"/>
      </w:pPr>
      <w:r>
        <w:t xml:space="preserve">O agente não deve criar outro projeto do zero, substituir a fundação nem reconstruir autenticação, organizações, permissões, planos, cobranças, cotas, notificações, auditoria, armazenamento, API, filas ou infraestrutura já disponíveis no Company Core.</w:t>
      </w:r>
    </w:p>
    <w:p>
      <w:pPr>
        <w:pStyle w:val="FirstParagraph"/>
      </w:pPr>
      <w:r>
        <w:t xml:space="preserve">Depois do clone:</w:t>
      </w:r>
    </w:p>
    <w:p>
      <w:pPr>
        <w:numPr>
          <w:ilvl w:val="0"/>
          <w:numId w:val="1001"/>
        </w:numPr>
        <w:pStyle w:val="Compact"/>
      </w:pPr>
      <w:r>
        <w:t xml:space="preserve">entrar em</w:t>
      </w:r>
      <w:r>
        <w:t xml:space="preserve"> </w:t>
      </w:r>
      <w:r>
        <w:rPr>
          <w:rStyle w:val="VerbatimChar"/>
        </w:rPr>
        <w:t xml:space="preserve">company-core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criar branch própria de desenvolvimento;</w:t>
      </w:r>
    </w:p>
    <w:p>
      <w:pPr>
        <w:numPr>
          <w:ilvl w:val="0"/>
          <w:numId w:val="1001"/>
        </w:numPr>
        <w:pStyle w:val="Compact"/>
      </w:pPr>
      <w:r>
        <w:t xml:space="preserve">instalar as dependências conforme 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executar migrações e testes existentes;</w:t>
      </w:r>
    </w:p>
    <w:p>
      <w:pPr>
        <w:numPr>
          <w:ilvl w:val="0"/>
          <w:numId w:val="1001"/>
        </w:numPr>
        <w:pStyle w:val="Compact"/>
      </w:pPr>
      <w:r>
        <w:t xml:space="preserve">mapear os serviços transversais já fornecidos;</w:t>
      </w:r>
    </w:p>
    <w:p>
      <w:pPr>
        <w:numPr>
          <w:ilvl w:val="0"/>
          <w:numId w:val="1001"/>
        </w:numPr>
        <w:pStyle w:val="Compact"/>
      </w:pPr>
      <w:r>
        <w:t xml:space="preserve">implementar o domínio do Company Radar em novos apps, mantendo o padrão</w:t>
      </w:r>
      <w:r>
        <w:t xml:space="preserve"> </w:t>
      </w:r>
      <w:r>
        <w:rPr>
          <w:rStyle w:val="VerbatimChar"/>
        </w:rPr>
        <w:t xml:space="preserve">models → services → selectors → views/API → tasks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preservar compatibilidade com os testes e módulos existentes.</w:t>
      </w:r>
    </w:p>
    <w:p>
      <w:pPr>
        <w:pStyle w:val="FirstParagraph"/>
      </w:pPr>
      <w:r>
        <w:t xml:space="preserve">O Company Core verificado possui Django 6, Python 3.12, PostgreSQL, Redis, Celery, Django REST Framework, HTMX, Alpine.js, Tailwind/DaisyUI, Stripe, armazenamento S3 compatível, multitenancy, RBAC, auditoria, notificações, cotas, feature flags, API keys e serviços de IA. O MVP reutilizará essa base, mas</w:t>
      </w:r>
      <w:r>
        <w:t xml:space="preserve"> </w:t>
      </w:r>
      <w:r>
        <w:rPr>
          <w:bCs/>
          <w:b/>
        </w:rPr>
        <w:t xml:space="preserve">não incluirá IA nem monitoramento automático de legislação</w:t>
      </w:r>
      <w:r>
        <w:t xml:space="preserve">.</w:t>
      </w:r>
    </w:p>
    <w:bookmarkEnd w:id="21"/>
    <w:bookmarkStart w:id="22" w:name="resumo-executivo"/>
    <w:p>
      <w:pPr>
        <w:pStyle w:val="Heading2"/>
      </w:pPr>
      <w:r>
        <w:rPr>
          <w:rFonts w:ascii="Calibri" w:hAnsi="Calibri"/>
          <w:b/>
          <w:color w:val="175D7B"/>
        </w:rPr>
        <w:t xml:space="preserve">2. Resumo executivo</w:t>
      </w:r>
    </w:p>
    <w:p>
      <w:pPr>
        <w:pStyle w:val="FirstParagraph"/>
      </w:pPr>
      <w:r>
        <w:t xml:space="preserve">O Company Radar será um sistema operacional para escritórios contábeis. Cada escritório cria uma organização, cadastra sua equipe e sua carteira de empresas-clientes, transforma procedimentos internos em templates reutilizáveis e aplica esses templates aos clientes.</w:t>
      </w:r>
    </w:p>
    <w:p>
      <w:pPr>
        <w:pStyle w:val="BodyText"/>
      </w:pPr>
      <w:r>
        <w:t xml:space="preserve">A aplicação de um template gera tarefas, checklists, documentos esperados, responsáveis, datas e recorrências. O sistema acompanha a execução, cobra pendências, envia alertas e mantém um histórico auditável.</w:t>
      </w:r>
    </w:p>
    <w:p>
      <w:pPr>
        <w:pStyle w:val="BodyText"/>
      </w:pPr>
      <w:r>
        <w:t xml:space="preserve">O MVP será vendável porque resolve uma operação completa: substitui planilhas, agendas pessoais, cobranças dispersas e processos dependentes da memória de cada colaborador. A retenção virá do acúmulo de templates próprios, documentos, histórico, rotinas recorrentes e participação cotidiana da equipe e dos clientes.</w:t>
      </w:r>
    </w:p>
    <w:p>
      <w:pPr>
        <w:pStyle w:val="BodyText"/>
      </w:pPr>
      <w:r>
        <w:t xml:space="preserve">O produto não afirmará que descobre automaticamente obrigações legais. No MVP, as regras são cadastradas pelo próprio escritório. Isso reduz risco jurídico e permite lançar uma solução confiável.</w:t>
      </w:r>
    </w:p>
    <w:bookmarkEnd w:id="22"/>
    <w:bookmarkStart w:id="28" w:name="posicionamento"/>
    <w:p>
      <w:pPr>
        <w:pStyle w:val="Heading2"/>
      </w:pPr>
      <w:r>
        <w:rPr>
          <w:rFonts w:ascii="Calibri" w:hAnsi="Calibri"/>
          <w:b/>
          <w:color w:val="175D7B"/>
        </w:rPr>
        <w:t xml:space="preserve">3. Posicionamento</w:t>
      </w:r>
    </w:p>
    <w:bookmarkStart w:id="23" w:name="promessa-principal"/>
    <w:p>
      <w:pPr>
        <w:pStyle w:val="Heading3"/>
      </w:pPr>
      <w:r>
        <w:rPr>
          <w:rFonts w:ascii="Calibri" w:hAnsi="Calibri"/>
          <w:b/>
          <w:color w:val="0B1D2B"/>
        </w:rPr>
        <w:t xml:space="preserve">3.1 Promessa principal</w:t>
      </w:r>
    </w:p>
    <w:p>
      <w:pPr>
        <w:pStyle w:val="FirstParagraph"/>
      </w:pPr>
      <w:r>
        <w:rPr>
          <w:bCs/>
          <w:b/>
        </w:rPr>
        <w:t xml:space="preserve">Padronize a operação do escritório. Nenhum cliente sem processo, nenhum vencimento esquecido e nenhum documento perdido.</w:t>
      </w:r>
    </w:p>
    <w:bookmarkEnd w:id="23"/>
    <w:bookmarkStart w:id="24" w:name="resultado-prometido"/>
    <w:p>
      <w:pPr>
        <w:pStyle w:val="Heading3"/>
      </w:pPr>
      <w:r>
        <w:rPr>
          <w:rFonts w:ascii="Calibri" w:hAnsi="Calibri"/>
          <w:b/>
          <w:color w:val="0B1D2B"/>
        </w:rPr>
        <w:t xml:space="preserve">3.2 Resultado prometido</w:t>
      </w:r>
    </w:p>
    <w:p>
      <w:pPr>
        <w:pStyle w:val="FirstParagraph"/>
      </w:pPr>
      <w:r>
        <w:t xml:space="preserve">Reduzir para menos de cinco minutos o tempo necessário para estruturar operacionalmente um novo cliente, aplicando templates que criam as rotinas necessárias.</w:t>
      </w:r>
    </w:p>
    <w:bookmarkEnd w:id="24"/>
    <w:bookmarkStart w:id="25" w:name="o-que-o-mvp-é"/>
    <w:p>
      <w:pPr>
        <w:pStyle w:val="Heading3"/>
      </w:pPr>
      <w:r>
        <w:rPr>
          <w:rFonts w:ascii="Calibri" w:hAnsi="Calibri"/>
          <w:b/>
          <w:color w:val="0B1D2B"/>
        </w:rPr>
        <w:t xml:space="preserve">3.3 O que o MVP é</w:t>
      </w:r>
    </w:p>
    <w:p>
      <w:pPr>
        <w:numPr>
          <w:ilvl w:val="0"/>
          <w:numId w:val="1002"/>
        </w:numPr>
        <w:pStyle w:val="Compact"/>
      </w:pPr>
      <w:r>
        <w:t xml:space="preserve">gestor de carteira de empresas-clientes;</w:t>
      </w:r>
    </w:p>
    <w:p>
      <w:pPr>
        <w:numPr>
          <w:ilvl w:val="0"/>
          <w:numId w:val="1002"/>
        </w:numPr>
        <w:pStyle w:val="Compact"/>
      </w:pPr>
      <w:r>
        <w:t xml:space="preserve">biblioteca privada de templates operacionais;</w:t>
      </w:r>
    </w:p>
    <w:p>
      <w:pPr>
        <w:numPr>
          <w:ilvl w:val="0"/>
          <w:numId w:val="1002"/>
        </w:numPr>
        <w:pStyle w:val="Compact"/>
      </w:pPr>
      <w:r>
        <w:t xml:space="preserve">gerador de tarefas, prazos, recorrências e checklists;</w:t>
      </w:r>
    </w:p>
    <w:p>
      <w:pPr>
        <w:numPr>
          <w:ilvl w:val="0"/>
          <w:numId w:val="1002"/>
        </w:numPr>
        <w:pStyle w:val="Compact"/>
      </w:pPr>
      <w:r>
        <w:t xml:space="preserve">central de documentos e pendências;</w:t>
      </w:r>
    </w:p>
    <w:p>
      <w:pPr>
        <w:numPr>
          <w:ilvl w:val="0"/>
          <w:numId w:val="1002"/>
        </w:numPr>
        <w:pStyle w:val="Compact"/>
      </w:pPr>
      <w:r>
        <w:t xml:space="preserve">calendário compartilhado;</w:t>
      </w:r>
    </w:p>
    <w:p>
      <w:pPr>
        <w:numPr>
          <w:ilvl w:val="0"/>
          <w:numId w:val="1002"/>
        </w:numPr>
        <w:pStyle w:val="Compact"/>
      </w:pPr>
      <w:r>
        <w:t xml:space="preserve">portal simplificado do cliente;</w:t>
      </w:r>
    </w:p>
    <w:p>
      <w:pPr>
        <w:numPr>
          <w:ilvl w:val="0"/>
          <w:numId w:val="1002"/>
        </w:numPr>
        <w:pStyle w:val="Compact"/>
      </w:pPr>
      <w:r>
        <w:t xml:space="preserve">painel gerencial e trilha de auditoria;</w:t>
      </w:r>
    </w:p>
    <w:p>
      <w:pPr>
        <w:numPr>
          <w:ilvl w:val="0"/>
          <w:numId w:val="1002"/>
        </w:numPr>
        <w:pStyle w:val="Compact"/>
      </w:pPr>
      <w:r>
        <w:t xml:space="preserve">SaaS por assinatura com limites por carteira.</w:t>
      </w:r>
    </w:p>
    <w:bookmarkEnd w:id="25"/>
    <w:bookmarkStart w:id="26" w:name="o-que-o-mvp-não-é"/>
    <w:p>
      <w:pPr>
        <w:pStyle w:val="Heading3"/>
      </w:pPr>
      <w:r>
        <w:rPr>
          <w:rFonts w:ascii="Calibri" w:hAnsi="Calibri"/>
          <w:b/>
          <w:color w:val="0B1D2B"/>
        </w:rPr>
        <w:t xml:space="preserve">3.4 O que o MVP não é</w:t>
      </w:r>
    </w:p>
    <w:p>
      <w:pPr>
        <w:numPr>
          <w:ilvl w:val="0"/>
          <w:numId w:val="1003"/>
        </w:numPr>
        <w:pStyle w:val="Compact"/>
      </w:pPr>
      <w:r>
        <w:t xml:space="preserve">consultoria contábil ou jurídica;</w:t>
      </w:r>
    </w:p>
    <w:p>
      <w:pPr>
        <w:numPr>
          <w:ilvl w:val="0"/>
          <w:numId w:val="1003"/>
        </w:numPr>
        <w:pStyle w:val="Compact"/>
      </w:pPr>
      <w:r>
        <w:t xml:space="preserve">monitor automático de leis;</w:t>
      </w:r>
    </w:p>
    <w:p>
      <w:pPr>
        <w:numPr>
          <w:ilvl w:val="0"/>
          <w:numId w:val="1003"/>
        </w:numPr>
        <w:pStyle w:val="Compact"/>
      </w:pPr>
      <w:r>
        <w:t xml:space="preserve">motor oficial de obrigações fiscais;</w:t>
      </w:r>
    </w:p>
    <w:p>
      <w:pPr>
        <w:numPr>
          <w:ilvl w:val="0"/>
          <w:numId w:val="1003"/>
        </w:numPr>
        <w:pStyle w:val="Compact"/>
      </w:pPr>
      <w:r>
        <w:t xml:space="preserve">substituto de ERP contábil;</w:t>
      </w:r>
    </w:p>
    <w:p>
      <w:pPr>
        <w:numPr>
          <w:ilvl w:val="0"/>
          <w:numId w:val="1003"/>
        </w:numPr>
        <w:pStyle w:val="Compact"/>
      </w:pPr>
      <w:r>
        <w:t xml:space="preserve">emissor de guias, declarações ou eventos do eSocial;</w:t>
      </w:r>
    </w:p>
    <w:p>
      <w:pPr>
        <w:numPr>
          <w:ilvl w:val="0"/>
          <w:numId w:val="1003"/>
        </w:numPr>
        <w:pStyle w:val="Compact"/>
      </w:pPr>
      <w:r>
        <w:t xml:space="preserve">marketplace público de templates;</w:t>
      </w:r>
    </w:p>
    <w:p>
      <w:pPr>
        <w:numPr>
          <w:ilvl w:val="0"/>
          <w:numId w:val="1003"/>
        </w:numPr>
        <w:pStyle w:val="Compact"/>
      </w:pPr>
      <w:r>
        <w:t xml:space="preserve">chatbot ou assistente de IA;</w:t>
      </w:r>
    </w:p>
    <w:p>
      <w:pPr>
        <w:numPr>
          <w:ilvl w:val="0"/>
          <w:numId w:val="1003"/>
        </w:numPr>
        <w:pStyle w:val="Compact"/>
      </w:pPr>
      <w:r>
        <w:t xml:space="preserve">aplicativo móvel nativo.</w:t>
      </w:r>
    </w:p>
    <w:bookmarkEnd w:id="26"/>
    <w:bookmarkStart w:id="27" w:name="aviso-jurídico-obrigatório"/>
    <w:p>
      <w:pPr>
        <w:pStyle w:val="Heading3"/>
      </w:pPr>
      <w:r>
        <w:rPr>
          <w:rFonts w:ascii="Calibri" w:hAnsi="Calibri"/>
          <w:b/>
          <w:color w:val="0B1D2B"/>
        </w:rPr>
        <w:t xml:space="preserve">3.5 Aviso jurídico obrigatório</w:t>
      </w:r>
    </w:p>
    <w:p>
      <w:pPr>
        <w:pStyle w:val="FirstParagraph"/>
      </w:pPr>
      <w:r>
        <w:t xml:space="preserve">No cadastro, rodapé, portal e páginas de templates deve constar que o Company Radar é uma ferramenta de organização operacional. Conteúdos, datas e procedimentos são definidos pelo escritório usuário, que permanece responsável por sua validação técnica, legal e contábil.</w:t>
      </w:r>
    </w:p>
    <w:bookmarkEnd w:id="27"/>
    <w:bookmarkEnd w:id="28"/>
    <w:bookmarkStart w:id="32" w:name="Xcb9b3ebc0dce93cd282e9dba15039717e49e4af"/>
    <w:p>
      <w:pPr>
        <w:pStyle w:val="Heading2"/>
      </w:pPr>
      <w:r>
        <w:rPr>
          <w:rFonts w:ascii="Calibri" w:hAnsi="Calibri"/>
          <w:b/>
          <w:color w:val="175D7B"/>
        </w:rPr>
        <w:t xml:space="preserve">4. Público, usuários e estrutura organizacional</w:t>
      </w:r>
    </w:p>
    <w:bookmarkStart w:id="29" w:name="comprador"/>
    <w:p>
      <w:pPr>
        <w:pStyle w:val="Heading3"/>
      </w:pPr>
      <w:r>
        <w:rPr>
          <w:rFonts w:ascii="Calibri" w:hAnsi="Calibri"/>
          <w:b/>
          <w:color w:val="0B1D2B"/>
        </w:rPr>
        <w:t xml:space="preserve">4.1 Comprador</w:t>
      </w:r>
    </w:p>
    <w:p>
      <w:pPr>
        <w:pStyle w:val="FirstParagraph"/>
      </w:pPr>
      <w:r>
        <w:t xml:space="preserve">Escritórios contábeis, BPOs financeiros, consultorias empresariais e operações semelhantes que administram múltiplos CNPJs.</w:t>
      </w:r>
    </w:p>
    <w:bookmarkEnd w:id="29"/>
    <w:bookmarkStart w:id="30" w:name="hierarquia-multitenant"/>
    <w:p>
      <w:pPr>
        <w:pStyle w:val="Heading3"/>
      </w:pPr>
      <w:r>
        <w:rPr>
          <w:rFonts w:ascii="Calibri" w:hAnsi="Calibri"/>
          <w:b/>
          <w:color w:val="0B1D2B"/>
        </w:rPr>
        <w:t xml:space="preserve">4.2 Hierarquia multitenant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Plataforma Company Radar:</w:t>
      </w:r>
      <w:r>
        <w:t xml:space="preserve"> </w:t>
      </w:r>
      <w:r>
        <w:t xml:space="preserve">ambiente global administrado pelo operador do SaaS.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Organização:</w:t>
      </w:r>
      <w:r>
        <w:t xml:space="preserve"> </w:t>
      </w:r>
      <w:r>
        <w:t xml:space="preserve">um escritório assinante e seu isolamento de dados.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t xml:space="preserve">filial, sede ou divisão opcional do escritório.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Departamento:</w:t>
      </w:r>
      <w:r>
        <w:t xml:space="preserve"> </w:t>
      </w:r>
      <w:r>
        <w:t xml:space="preserve">Fiscal, Pessoal, Contábil, Societário, Legalização, SST ou outro.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Equipe:</w:t>
      </w:r>
      <w:r>
        <w:t xml:space="preserve"> </w:t>
      </w:r>
      <w:r>
        <w:t xml:space="preserve">usuários internos vinculados à organização.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Empresa-cliente:</w:t>
      </w:r>
      <w:r>
        <w:t xml:space="preserve"> </w:t>
      </w:r>
      <w:r>
        <w:t xml:space="preserve">CNPJ atendido pelo escritório.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Contato do cliente:</w:t>
      </w:r>
      <w:r>
        <w:t xml:space="preserve"> </w:t>
      </w:r>
      <w:r>
        <w:t xml:space="preserve">pessoa com acesso opcional ao portal.</w:t>
      </w:r>
    </w:p>
    <w:p>
      <w:pPr>
        <w:pStyle w:val="FirstParagraph"/>
      </w:pPr>
      <w:r>
        <w:t xml:space="preserve">Uma pessoa pode participar de mais de uma organização, mas deve selecionar uma organização ativa. Toda consulta, gravação, arquivo, busca, tarefa assíncrona e exportação deve ser filtrada pela organização ativa.</w:t>
      </w:r>
    </w:p>
    <w:bookmarkEnd w:id="30"/>
    <w:bookmarkStart w:id="31" w:name="papéis"/>
    <w:p>
      <w:pPr>
        <w:pStyle w:val="Heading3"/>
      </w:pPr>
      <w:r>
        <w:rPr>
          <w:rFonts w:ascii="Calibri" w:hAnsi="Calibri"/>
          <w:b/>
          <w:color w:val="0B1D2B"/>
        </w:rPr>
        <w:t xml:space="preserve">4.3 Papéis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Mar>
              <w:top w:w="80" w:type="dxa"/>
              <w:start w:w="120" w:type="dxa"/>
              <w:bottom w:w="80" w:type="dxa"/>
              <w:end w:w="120" w:type="dxa"/>
            </w:tcMar>
            <w:shd w:fill="0B1D2B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Papel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  <w:shd w:fill="0B1D2B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Finalidade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Operador da plataforma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Administra planos, organizações, suporte, métricas e configurações globais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Proprietário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Titular da assinatura e controle total do escritório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Administrador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Configura organização, equipe, templates, clientes e integrações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Gestor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Administra carteira, distribui tarefas e consulta relatórios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Colaborador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Executa tarefas e acessa apenas o que sua permissão autorizar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Financeiro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Consulta assinatura, faturas e cobrança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Cliente do escritório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Acessa somente o portal e as empresas explicitamente vinculadas</w:t>
            </w:r>
          </w:p>
        </w:tc>
      </w:tr>
    </w:tbl>
    <w:p>
      <w:pPr>
        <w:pStyle w:val="BodyText"/>
      </w:pPr>
      <w:r>
        <w:t xml:space="preserve">Permissões devem ser granulares no padrão</w:t>
      </w:r>
      <w:r>
        <w:t xml:space="preserve"> </w:t>
      </w:r>
      <w:r>
        <w:rPr>
          <w:rStyle w:val="VerbatimChar"/>
        </w:rPr>
        <w:t xml:space="preserve">recurso.ação</w:t>
      </w:r>
      <w:r>
        <w:t xml:space="preserve">, incluindo</w:t>
      </w:r>
      <w:r>
        <w:t xml:space="preserve"> </w:t>
      </w:r>
      <w:r>
        <w:rPr>
          <w:rStyle w:val="VerbatimChar"/>
        </w:rPr>
        <w:t xml:space="preserve">client.view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client.edit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client.archive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template.publish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task.assign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document.download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report.export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audit.view</w:t>
      </w:r>
      <w:r>
        <w:t xml:space="preserve">.</w:t>
      </w:r>
    </w:p>
    <w:bookmarkEnd w:id="31"/>
    <w:bookmarkEnd w:id="32"/>
    <w:bookmarkStart w:id="33" w:name="escopo-funcional-do-mvp"/>
    <w:p>
      <w:pPr>
        <w:pStyle w:val="Heading2"/>
      </w:pPr>
      <w:r>
        <w:rPr>
          <w:rFonts w:ascii="Calibri" w:hAnsi="Calibri"/>
          <w:b/>
          <w:color w:val="175D7B"/>
        </w:rPr>
        <w:t xml:space="preserve">5. Escopo funcional do MVP</w:t>
      </w:r>
    </w:p>
    <w:p>
      <w:pPr>
        <w:pStyle w:val="FirstParagraph"/>
      </w:pPr>
      <w:r>
        <w:t xml:space="preserve">O MVP deverá conter:</w:t>
      </w:r>
    </w:p>
    <w:p>
      <w:pPr>
        <w:numPr>
          <w:ilvl w:val="0"/>
          <w:numId w:val="1005"/>
        </w:numPr>
        <w:pStyle w:val="Compact"/>
      </w:pPr>
      <w:r>
        <w:t xml:space="preserve">site público e páginas comerciais;</w:t>
      </w:r>
    </w:p>
    <w:p>
      <w:pPr>
        <w:numPr>
          <w:ilvl w:val="0"/>
          <w:numId w:val="1005"/>
        </w:numPr>
        <w:pStyle w:val="Compact"/>
      </w:pPr>
      <w:r>
        <w:t xml:space="preserve">cadastro, login, recuperação, verificação de e-mail e aceite de termos;</w:t>
      </w:r>
    </w:p>
    <w:p>
      <w:pPr>
        <w:numPr>
          <w:ilvl w:val="0"/>
          <w:numId w:val="1005"/>
        </w:numPr>
        <w:pStyle w:val="Compact"/>
      </w:pPr>
      <w:r>
        <w:t xml:space="preserve">criação e configuração da organização;</w:t>
      </w:r>
    </w:p>
    <w:p>
      <w:pPr>
        <w:numPr>
          <w:ilvl w:val="0"/>
          <w:numId w:val="1005"/>
        </w:numPr>
        <w:pStyle w:val="Compact"/>
      </w:pPr>
      <w:r>
        <w:t xml:space="preserve">convite e gestão de equipe;</w:t>
      </w:r>
    </w:p>
    <w:p>
      <w:pPr>
        <w:numPr>
          <w:ilvl w:val="0"/>
          <w:numId w:val="1005"/>
        </w:numPr>
        <w:pStyle w:val="Compact"/>
      </w:pPr>
      <w:r>
        <w:t xml:space="preserve">cadastro e importação de empresas-clientes;</w:t>
      </w:r>
    </w:p>
    <w:p>
      <w:pPr>
        <w:numPr>
          <w:ilvl w:val="0"/>
          <w:numId w:val="1005"/>
        </w:numPr>
        <w:pStyle w:val="Compact"/>
      </w:pPr>
      <w:r>
        <w:t xml:space="preserve">contatos e acessos ao portal;</w:t>
      </w:r>
    </w:p>
    <w:p>
      <w:pPr>
        <w:numPr>
          <w:ilvl w:val="0"/>
          <w:numId w:val="1005"/>
        </w:numPr>
        <w:pStyle w:val="Compact"/>
      </w:pPr>
      <w:r>
        <w:t xml:space="preserve">departamentos, cargos, equipes, tags e tipos de documentos;</w:t>
      </w:r>
    </w:p>
    <w:p>
      <w:pPr>
        <w:numPr>
          <w:ilvl w:val="0"/>
          <w:numId w:val="1005"/>
        </w:numPr>
        <w:pStyle w:val="Compact"/>
      </w:pPr>
      <w:r>
        <w:t xml:space="preserve">editor, publicação, clonagem e versionamento de templates;</w:t>
      </w:r>
    </w:p>
    <w:p>
      <w:pPr>
        <w:numPr>
          <w:ilvl w:val="0"/>
          <w:numId w:val="1005"/>
        </w:numPr>
        <w:pStyle w:val="Compact"/>
      </w:pPr>
      <w:r>
        <w:t xml:space="preserve">aplicação de templates aos clientes;</w:t>
      </w:r>
    </w:p>
    <w:p>
      <w:pPr>
        <w:numPr>
          <w:ilvl w:val="0"/>
          <w:numId w:val="1005"/>
        </w:numPr>
        <w:pStyle w:val="Compact"/>
      </w:pPr>
      <w:r>
        <w:t xml:space="preserve">tarefas avulsas e geradas, subtarefas/checklists, comentários e anexos;</w:t>
      </w:r>
    </w:p>
    <w:p>
      <w:pPr>
        <w:numPr>
          <w:ilvl w:val="0"/>
          <w:numId w:val="1005"/>
        </w:numPr>
        <w:pStyle w:val="Compact"/>
      </w:pPr>
      <w:r>
        <w:t xml:space="preserve">recorrências e regras de data;</w:t>
      </w:r>
    </w:p>
    <w:p>
      <w:pPr>
        <w:numPr>
          <w:ilvl w:val="0"/>
          <w:numId w:val="1005"/>
        </w:numPr>
        <w:pStyle w:val="Compact"/>
      </w:pPr>
      <w:r>
        <w:t xml:space="preserve">central de documentos;</w:t>
      </w:r>
    </w:p>
    <w:p>
      <w:pPr>
        <w:numPr>
          <w:ilvl w:val="0"/>
          <w:numId w:val="1005"/>
        </w:numPr>
        <w:pStyle w:val="Compact"/>
      </w:pPr>
      <w:r>
        <w:t xml:space="preserve">calendário;</w:t>
      </w:r>
    </w:p>
    <w:p>
      <w:pPr>
        <w:numPr>
          <w:ilvl w:val="0"/>
          <w:numId w:val="1005"/>
        </w:numPr>
        <w:pStyle w:val="Compact"/>
      </w:pPr>
      <w:r>
        <w:t xml:space="preserve">dashboard executivo e operacional;</w:t>
      </w:r>
    </w:p>
    <w:p>
      <w:pPr>
        <w:numPr>
          <w:ilvl w:val="0"/>
          <w:numId w:val="1005"/>
        </w:numPr>
        <w:pStyle w:val="Compact"/>
      </w:pPr>
      <w:r>
        <w:t xml:space="preserve">central de notificações e preferências;</w:t>
      </w:r>
    </w:p>
    <w:p>
      <w:pPr>
        <w:numPr>
          <w:ilvl w:val="0"/>
          <w:numId w:val="1005"/>
        </w:numPr>
        <w:pStyle w:val="Compact"/>
      </w:pPr>
      <w:r>
        <w:t xml:space="preserve">e-mails transacionais e lembretes;</w:t>
      </w:r>
    </w:p>
    <w:p>
      <w:pPr>
        <w:numPr>
          <w:ilvl w:val="0"/>
          <w:numId w:val="1005"/>
        </w:numPr>
        <w:pStyle w:val="Compact"/>
      </w:pPr>
      <w:r>
        <w:t xml:space="preserve">portal do cliente;</w:t>
      </w:r>
    </w:p>
    <w:p>
      <w:pPr>
        <w:numPr>
          <w:ilvl w:val="0"/>
          <w:numId w:val="1005"/>
        </w:numPr>
        <w:pStyle w:val="Compact"/>
      </w:pPr>
      <w:r>
        <w:t xml:space="preserve">planos, checkout, assinatura, faturas, limites e upgrade;</w:t>
      </w:r>
    </w:p>
    <w:p>
      <w:pPr>
        <w:numPr>
          <w:ilvl w:val="0"/>
          <w:numId w:val="1005"/>
        </w:numPr>
        <w:pStyle w:val="Compact"/>
      </w:pPr>
      <w:r>
        <w:t xml:space="preserve">busca global;</w:t>
      </w:r>
    </w:p>
    <w:p>
      <w:pPr>
        <w:numPr>
          <w:ilvl w:val="0"/>
          <w:numId w:val="1005"/>
        </w:numPr>
        <w:pStyle w:val="Compact"/>
      </w:pPr>
      <w:r>
        <w:t xml:space="preserve">relatórios e exportações;</w:t>
      </w:r>
    </w:p>
    <w:p>
      <w:pPr>
        <w:numPr>
          <w:ilvl w:val="0"/>
          <w:numId w:val="1005"/>
        </w:numPr>
        <w:pStyle w:val="Compact"/>
      </w:pPr>
      <w:r>
        <w:t xml:space="preserve">auditoria;</w:t>
      </w:r>
    </w:p>
    <w:p>
      <w:pPr>
        <w:numPr>
          <w:ilvl w:val="0"/>
          <w:numId w:val="1005"/>
        </w:numPr>
        <w:pStyle w:val="Compact"/>
      </w:pPr>
      <w:r>
        <w:t xml:space="preserve">painel administrativo da plataforma;</w:t>
      </w:r>
    </w:p>
    <w:p>
      <w:pPr>
        <w:numPr>
          <w:ilvl w:val="0"/>
          <w:numId w:val="1005"/>
        </w:numPr>
        <w:pStyle w:val="Compact"/>
      </w:pPr>
      <w:r>
        <w:t xml:space="preserve">API interna versionada e webhooks essenciais;</w:t>
      </w:r>
    </w:p>
    <w:p>
      <w:pPr>
        <w:numPr>
          <w:ilvl w:val="0"/>
          <w:numId w:val="1005"/>
        </w:numPr>
        <w:pStyle w:val="Compact"/>
      </w:pPr>
      <w:r>
        <w:t xml:space="preserve">jobs assíncronos e rotinas agendadas.</w:t>
      </w:r>
    </w:p>
    <w:bookmarkEnd w:id="33"/>
    <w:bookmarkStart w:id="37" w:name="navegação"/>
    <w:p>
      <w:pPr>
        <w:pStyle w:val="Heading2"/>
      </w:pPr>
      <w:r>
        <w:rPr>
          <w:rFonts w:ascii="Calibri" w:hAnsi="Calibri"/>
          <w:b/>
          <w:color w:val="175D7B"/>
        </w:rPr>
        <w:t xml:space="preserve">6. Navegação</w:t>
      </w:r>
    </w:p>
    <w:bookmarkStart w:id="34" w:name="área-pública"/>
    <w:p>
      <w:pPr>
        <w:pStyle w:val="Heading3"/>
      </w:pPr>
      <w:r>
        <w:rPr>
          <w:rFonts w:ascii="Calibri" w:hAnsi="Calibri"/>
          <w:b/>
          <w:color w:val="0B1D2B"/>
        </w:rPr>
        <w:t xml:space="preserve">6.1 Área pública</w:t>
      </w:r>
    </w:p>
    <w:p>
      <w:pPr>
        <w:numPr>
          <w:ilvl w:val="0"/>
          <w:numId w:val="1006"/>
        </w:numPr>
        <w:pStyle w:val="Compact"/>
      </w:pPr>
      <w:r>
        <w:t xml:space="preserve">Início</w:t>
      </w:r>
    </w:p>
    <w:p>
      <w:pPr>
        <w:numPr>
          <w:ilvl w:val="0"/>
          <w:numId w:val="1006"/>
        </w:numPr>
        <w:pStyle w:val="Compact"/>
      </w:pPr>
      <w:r>
        <w:t xml:space="preserve">Como funciona</w:t>
      </w:r>
    </w:p>
    <w:p>
      <w:pPr>
        <w:numPr>
          <w:ilvl w:val="0"/>
          <w:numId w:val="1006"/>
        </w:numPr>
        <w:pStyle w:val="Compact"/>
      </w:pPr>
      <w:r>
        <w:t xml:space="preserve">Recursos</w:t>
      </w:r>
    </w:p>
    <w:p>
      <w:pPr>
        <w:numPr>
          <w:ilvl w:val="0"/>
          <w:numId w:val="1006"/>
        </w:numPr>
        <w:pStyle w:val="Compact"/>
      </w:pPr>
      <w:r>
        <w:t xml:space="preserve">Planos</w:t>
      </w:r>
    </w:p>
    <w:p>
      <w:pPr>
        <w:numPr>
          <w:ilvl w:val="0"/>
          <w:numId w:val="1006"/>
        </w:numPr>
        <w:pStyle w:val="Compact"/>
      </w:pPr>
      <w:r>
        <w:t xml:space="preserve">Perguntas frequentes</w:t>
      </w:r>
    </w:p>
    <w:p>
      <w:pPr>
        <w:numPr>
          <w:ilvl w:val="0"/>
          <w:numId w:val="1006"/>
        </w:numPr>
        <w:pStyle w:val="Compact"/>
      </w:pPr>
      <w:r>
        <w:t xml:space="preserve">Entrar</w:t>
      </w:r>
    </w:p>
    <w:p>
      <w:pPr>
        <w:numPr>
          <w:ilvl w:val="0"/>
          <w:numId w:val="1006"/>
        </w:numPr>
        <w:pStyle w:val="Compact"/>
      </w:pPr>
      <w:r>
        <w:t xml:space="preserve">Começar agora</w:t>
      </w:r>
    </w:p>
    <w:p>
      <w:pPr>
        <w:numPr>
          <w:ilvl w:val="0"/>
          <w:numId w:val="1006"/>
        </w:numPr>
        <w:pStyle w:val="Compact"/>
      </w:pPr>
      <w:r>
        <w:t xml:space="preserve">Termos de uso</w:t>
      </w:r>
    </w:p>
    <w:p>
      <w:pPr>
        <w:numPr>
          <w:ilvl w:val="0"/>
          <w:numId w:val="1006"/>
        </w:numPr>
        <w:pStyle w:val="Compact"/>
      </w:pPr>
      <w:r>
        <w:t xml:space="preserve">Privacidade</w:t>
      </w:r>
    </w:p>
    <w:bookmarkEnd w:id="34"/>
    <w:bookmarkStart w:id="35" w:name="área-autenticada"/>
    <w:p>
      <w:pPr>
        <w:pStyle w:val="Heading3"/>
      </w:pPr>
      <w:r>
        <w:rPr>
          <w:rFonts w:ascii="Calibri" w:hAnsi="Calibri"/>
          <w:b/>
          <w:color w:val="0B1D2B"/>
        </w:rPr>
        <w:t xml:space="preserve">6.2 Área autenticada</w:t>
      </w:r>
    </w:p>
    <w:p>
      <w:pPr>
        <w:numPr>
          <w:ilvl w:val="0"/>
          <w:numId w:val="1007"/>
        </w:numPr>
        <w:pStyle w:val="Compact"/>
      </w:pPr>
      <w:r>
        <w:t xml:space="preserve">Visão geral</w:t>
      </w:r>
    </w:p>
    <w:p>
      <w:pPr>
        <w:numPr>
          <w:ilvl w:val="0"/>
          <w:numId w:val="1007"/>
        </w:numPr>
        <w:pStyle w:val="Compact"/>
      </w:pPr>
      <w:r>
        <w:t xml:space="preserve">Empresas-clientes</w:t>
      </w:r>
    </w:p>
    <w:p>
      <w:pPr>
        <w:numPr>
          <w:ilvl w:val="0"/>
          <w:numId w:val="1007"/>
        </w:numPr>
        <w:pStyle w:val="Compact"/>
      </w:pPr>
      <w:r>
        <w:t xml:space="preserve">Templates</w:t>
      </w:r>
    </w:p>
    <w:p>
      <w:pPr>
        <w:numPr>
          <w:ilvl w:val="0"/>
          <w:numId w:val="1007"/>
        </w:numPr>
        <w:pStyle w:val="Compact"/>
      </w:pPr>
      <w:r>
        <w:t xml:space="preserve">Tarefas</w:t>
      </w:r>
    </w:p>
    <w:p>
      <w:pPr>
        <w:numPr>
          <w:ilvl w:val="0"/>
          <w:numId w:val="1007"/>
        </w:numPr>
        <w:pStyle w:val="Compact"/>
      </w:pPr>
      <w:r>
        <w:t xml:space="preserve">Calendário</w:t>
      </w:r>
    </w:p>
    <w:p>
      <w:pPr>
        <w:numPr>
          <w:ilvl w:val="0"/>
          <w:numId w:val="1007"/>
        </w:numPr>
        <w:pStyle w:val="Compact"/>
      </w:pPr>
      <w:r>
        <w:t xml:space="preserve">Documentos</w:t>
      </w:r>
    </w:p>
    <w:p>
      <w:pPr>
        <w:numPr>
          <w:ilvl w:val="0"/>
          <w:numId w:val="1007"/>
        </w:numPr>
        <w:pStyle w:val="Compact"/>
      </w:pPr>
      <w:r>
        <w:t xml:space="preserve">Relatórios</w:t>
      </w:r>
    </w:p>
    <w:p>
      <w:pPr>
        <w:numPr>
          <w:ilvl w:val="0"/>
          <w:numId w:val="1007"/>
        </w:numPr>
        <w:pStyle w:val="Compact"/>
      </w:pPr>
      <w:r>
        <w:t xml:space="preserve">Equipe</w:t>
      </w:r>
    </w:p>
    <w:p>
      <w:pPr>
        <w:numPr>
          <w:ilvl w:val="0"/>
          <w:numId w:val="1007"/>
        </w:numPr>
        <w:pStyle w:val="Compact"/>
      </w:pPr>
      <w:r>
        <w:t xml:space="preserve">Notificações</w:t>
      </w:r>
    </w:p>
    <w:p>
      <w:pPr>
        <w:numPr>
          <w:ilvl w:val="0"/>
          <w:numId w:val="1007"/>
        </w:numPr>
        <w:pStyle w:val="Compact"/>
      </w:pPr>
      <w:r>
        <w:t xml:space="preserve">Assinatura</w:t>
      </w:r>
    </w:p>
    <w:p>
      <w:pPr>
        <w:numPr>
          <w:ilvl w:val="0"/>
          <w:numId w:val="1007"/>
        </w:numPr>
        <w:pStyle w:val="Compact"/>
      </w:pPr>
      <w:r>
        <w:t xml:space="preserve">Configurações</w:t>
      </w:r>
    </w:p>
    <w:p>
      <w:pPr>
        <w:numPr>
          <w:ilvl w:val="0"/>
          <w:numId w:val="1007"/>
        </w:numPr>
        <w:pStyle w:val="Compact"/>
      </w:pPr>
      <w:r>
        <w:t xml:space="preserve">Ajuda</w:t>
      </w:r>
    </w:p>
    <w:bookmarkEnd w:id="35"/>
    <w:bookmarkStart w:id="36" w:name="portal-do-cliente"/>
    <w:p>
      <w:pPr>
        <w:pStyle w:val="Heading3"/>
      </w:pPr>
      <w:r>
        <w:rPr>
          <w:rFonts w:ascii="Calibri" w:hAnsi="Calibri"/>
          <w:b/>
          <w:color w:val="0B1D2B"/>
        </w:rPr>
        <w:t xml:space="preserve">6.3 Portal do cliente</w:t>
      </w:r>
    </w:p>
    <w:p>
      <w:pPr>
        <w:numPr>
          <w:ilvl w:val="0"/>
          <w:numId w:val="1008"/>
        </w:numPr>
        <w:pStyle w:val="Compact"/>
      </w:pPr>
      <w:r>
        <w:t xml:space="preserve">Início</w:t>
      </w:r>
    </w:p>
    <w:p>
      <w:pPr>
        <w:numPr>
          <w:ilvl w:val="0"/>
          <w:numId w:val="1008"/>
        </w:numPr>
        <w:pStyle w:val="Compact"/>
      </w:pPr>
      <w:r>
        <w:t xml:space="preserve">Pendências</w:t>
      </w:r>
    </w:p>
    <w:p>
      <w:pPr>
        <w:numPr>
          <w:ilvl w:val="0"/>
          <w:numId w:val="1008"/>
        </w:numPr>
        <w:pStyle w:val="Compact"/>
      </w:pPr>
      <w:r>
        <w:t xml:space="preserve">Documentos</w:t>
      </w:r>
    </w:p>
    <w:p>
      <w:pPr>
        <w:numPr>
          <w:ilvl w:val="0"/>
          <w:numId w:val="1008"/>
        </w:numPr>
        <w:pStyle w:val="Compact"/>
      </w:pPr>
      <w:r>
        <w:t xml:space="preserve">Cronograma</w:t>
      </w:r>
    </w:p>
    <w:p>
      <w:pPr>
        <w:numPr>
          <w:ilvl w:val="0"/>
          <w:numId w:val="1008"/>
        </w:numPr>
        <w:pStyle w:val="Compact"/>
      </w:pPr>
      <w:r>
        <w:t xml:space="preserve">Comunicados</w:t>
      </w:r>
    </w:p>
    <w:p>
      <w:pPr>
        <w:numPr>
          <w:ilvl w:val="0"/>
          <w:numId w:val="1008"/>
        </w:numPr>
        <w:pStyle w:val="Compact"/>
      </w:pPr>
      <w:r>
        <w:t xml:space="preserve">Perfil e segurança</w:t>
      </w:r>
    </w:p>
    <w:bookmarkEnd w:id="36"/>
    <w:bookmarkEnd w:id="37"/>
    <w:bookmarkStart w:id="135" w:name="catálogo-completo-de-telas"/>
    <w:p>
      <w:pPr>
        <w:pStyle w:val="Heading2"/>
      </w:pPr>
      <w:r>
        <w:rPr>
          <w:rFonts w:ascii="Calibri" w:hAnsi="Calibri"/>
          <w:b/>
          <w:color w:val="175D7B"/>
        </w:rPr>
        <w:t xml:space="preserve">7. Catálogo completo de telas</w:t>
      </w:r>
    </w:p>
    <w:bookmarkStart w:id="43" w:name="site-público"/>
    <w:p>
      <w:pPr>
        <w:pStyle w:val="Heading3"/>
      </w:pPr>
      <w:r>
        <w:rPr>
          <w:rFonts w:ascii="Calibri" w:hAnsi="Calibri"/>
          <w:b/>
          <w:color w:val="0B1D2B"/>
        </w:rPr>
        <w:t xml:space="preserve">7.1 Site público</w:t>
      </w:r>
    </w:p>
    <w:bookmarkStart w:id="38" w:name="pub-01-página-inicial"/>
    <w:p>
      <w:pPr>
        <w:pStyle w:val="Heading4"/>
      </w:pPr>
      <w:r>
        <w:rPr>
          <w:rFonts w:ascii="Calibri" w:hAnsi="Calibri"/>
          <w:b/>
          <w:color w:val="4F81BD"/>
        </w:rPr>
        <w:t xml:space="preserve">PUB-01 — Página inicial</w:t>
      </w:r>
    </w:p>
    <w:p>
      <w:pPr>
        <w:pStyle w:val="FirstParagraph"/>
      </w:pPr>
      <w:r>
        <w:t xml:space="preserve">Apresenta proposta de valor, problema resolvido, fluxo</w:t>
      </w:r>
      <w:r>
        <w:t xml:space="preserve"> </w:t>
      </w:r>
      <w:r>
        <w:t xml:space="preserve">“</w:t>
      </w:r>
      <w:r>
        <w:t xml:space="preserve">template → cliente → tarefas</w:t>
      </w:r>
      <w:r>
        <w:t xml:space="preserve">”</w:t>
      </w:r>
      <w:r>
        <w:t xml:space="preserve">, recursos, prova social preparada para futura inclusão, planos resumidos, perguntas frequentes e CTAs. Os CTAs levam ao cadastro ou checkout.</w:t>
      </w:r>
    </w:p>
    <w:bookmarkEnd w:id="38"/>
    <w:bookmarkStart w:id="39" w:name="pub-02-recursos"/>
    <w:p>
      <w:pPr>
        <w:pStyle w:val="Heading4"/>
      </w:pPr>
      <w:r>
        <w:rPr>
          <w:rFonts w:ascii="Calibri" w:hAnsi="Calibri"/>
          <w:b/>
          <w:color w:val="4F81BD"/>
        </w:rPr>
        <w:t xml:space="preserve">PUB-02 — Recursos</w:t>
      </w:r>
    </w:p>
    <w:p>
      <w:pPr>
        <w:pStyle w:val="FirstParagraph"/>
      </w:pPr>
      <w:r>
        <w:t xml:space="preserve">Explica carteira, templates, tarefas, documentos, calendário, alertas, portal, relatórios, segurança e separação entre organização operacional e aconselhamento legal.</w:t>
      </w:r>
    </w:p>
    <w:bookmarkEnd w:id="39"/>
    <w:bookmarkStart w:id="40" w:name="pub-03-planos"/>
    <w:p>
      <w:pPr>
        <w:pStyle w:val="Heading4"/>
      </w:pPr>
      <w:r>
        <w:rPr>
          <w:rFonts w:ascii="Calibri" w:hAnsi="Calibri"/>
          <w:b/>
          <w:color w:val="4F81BD"/>
        </w:rPr>
        <w:t xml:space="preserve">PUB-03 — Planos</w:t>
      </w:r>
    </w:p>
    <w:p>
      <w:pPr>
        <w:pStyle w:val="FirstParagraph"/>
      </w:pPr>
      <w:r>
        <w:t xml:space="preserve">Alternância mensal/anual, cartões de planos, limites, recursos comuns, comparação, perguntas frequentes, teste gratuito quando habilitado e CTA de contratação. Os preços devem vir do banco, nunca fixos no HTML.</w:t>
      </w:r>
    </w:p>
    <w:bookmarkEnd w:id="40"/>
    <w:bookmarkStart w:id="41" w:name="pub-04-checkout"/>
    <w:p>
      <w:pPr>
        <w:pStyle w:val="Heading4"/>
      </w:pPr>
      <w:r>
        <w:rPr>
          <w:rFonts w:ascii="Calibri" w:hAnsi="Calibri"/>
          <w:b/>
          <w:color w:val="4F81BD"/>
        </w:rPr>
        <w:t xml:space="preserve">PUB-04 — Checkout</w:t>
      </w:r>
    </w:p>
    <w:p>
      <w:pPr>
        <w:pStyle w:val="FirstParagraph"/>
      </w:pPr>
      <w:r>
        <w:t xml:space="preserve">Resumo do plano, periodicidade, preço, impostos quando aplicável, cupom, dados do comprador e redirecionamento seguro ao Stripe Checkout. Não armazenar dados completos de cartão.</w:t>
      </w:r>
    </w:p>
    <w:bookmarkEnd w:id="41"/>
    <w:bookmarkStart w:id="42" w:name="pub-05-confirmação-de-compra"/>
    <w:p>
      <w:pPr>
        <w:pStyle w:val="Heading4"/>
      </w:pPr>
      <w:r>
        <w:rPr>
          <w:rFonts w:ascii="Calibri" w:hAnsi="Calibri"/>
          <w:b/>
          <w:color w:val="4F81BD"/>
        </w:rPr>
        <w:t xml:space="preserve">PUB-05 — Confirmação de compra</w:t>
      </w:r>
    </w:p>
    <w:p>
      <w:pPr>
        <w:pStyle w:val="FirstParagraph"/>
      </w:pPr>
      <w:r>
        <w:t xml:space="preserve">Exibe sucesso, plano, próximo passo e botão para criar/configurar a organização. Se o webhook ainda estiver processando, mostrar estado</w:t>
      </w:r>
      <w:r>
        <w:t xml:space="preserve"> </w:t>
      </w:r>
      <w:r>
        <w:t xml:space="preserve">“</w:t>
      </w:r>
      <w:r>
        <w:t xml:space="preserve">confirmando pagamento</w:t>
      </w:r>
      <w:r>
        <w:t xml:space="preserve">”</w:t>
      </w:r>
      <w:r>
        <w:t xml:space="preserve"> </w:t>
      </w:r>
      <w:r>
        <w:t xml:space="preserve">com atualização segura.</w:t>
      </w:r>
    </w:p>
    <w:bookmarkEnd w:id="42"/>
    <w:bookmarkEnd w:id="43"/>
    <w:bookmarkStart w:id="50" w:name="autenticação"/>
    <w:p>
      <w:pPr>
        <w:pStyle w:val="Heading3"/>
      </w:pPr>
      <w:r>
        <w:rPr>
          <w:rFonts w:ascii="Calibri" w:hAnsi="Calibri"/>
          <w:b/>
          <w:color w:val="0B1D2B"/>
        </w:rPr>
        <w:t xml:space="preserve">7.2 Autenticação</w:t>
      </w:r>
    </w:p>
    <w:bookmarkStart w:id="44" w:name="auth-01-cadastro"/>
    <w:p>
      <w:pPr>
        <w:pStyle w:val="Heading4"/>
      </w:pPr>
      <w:r>
        <w:rPr>
          <w:rFonts w:ascii="Calibri" w:hAnsi="Calibri"/>
          <w:b/>
          <w:color w:val="4F81BD"/>
        </w:rPr>
        <w:t xml:space="preserve">AUTH-01 — Cadastro</w:t>
      </w:r>
    </w:p>
    <w:p>
      <w:pPr>
        <w:pStyle w:val="FirstParagraph"/>
      </w:pPr>
      <w:r>
        <w:t xml:space="preserve">Campos: nome, sobrenome, e-mail profissional, senha, confirmação, aceite dos Termos e Política. Valida e-mail único, força mínima da senha, consentimentos versionados e captcha configurável.</w:t>
      </w:r>
    </w:p>
    <w:bookmarkEnd w:id="44"/>
    <w:bookmarkStart w:id="45" w:name="auth-02-login"/>
    <w:p>
      <w:pPr>
        <w:pStyle w:val="Heading4"/>
      </w:pPr>
      <w:r>
        <w:rPr>
          <w:rFonts w:ascii="Calibri" w:hAnsi="Calibri"/>
          <w:b/>
          <w:color w:val="4F81BD"/>
        </w:rPr>
        <w:t xml:space="preserve">AUTH-02 — Login</w:t>
      </w:r>
    </w:p>
    <w:p>
      <w:pPr>
        <w:pStyle w:val="FirstParagraph"/>
      </w:pPr>
      <w:r>
        <w:t xml:space="preserve">E-mail, senha,</w:t>
      </w:r>
      <w:r>
        <w:t xml:space="preserve"> </w:t>
      </w:r>
      <w:r>
        <w:t xml:space="preserve">“</w:t>
      </w:r>
      <w:r>
        <w:t xml:space="preserve">lembrar</w:t>
      </w:r>
      <w:r>
        <w:t xml:space="preserve">”</w:t>
      </w:r>
      <w:r>
        <w:t xml:space="preserve">, recuperação e SSO futuro oculto por feature flag.</w:t>
      </w:r>
    </w:p>
    <w:bookmarkEnd w:id="45"/>
    <w:bookmarkStart w:id="46" w:name="auth-03-verificação-de-e-mail"/>
    <w:p>
      <w:pPr>
        <w:pStyle w:val="Heading4"/>
      </w:pPr>
      <w:r>
        <w:rPr>
          <w:rFonts w:ascii="Calibri" w:hAnsi="Calibri"/>
          <w:b/>
          <w:color w:val="4F81BD"/>
        </w:rPr>
        <w:t xml:space="preserve">AUTH-03 — Verificação de e-mail</w:t>
      </w:r>
    </w:p>
    <w:p>
      <w:pPr>
        <w:pStyle w:val="FirstParagraph"/>
      </w:pPr>
      <w:r>
        <w:t xml:space="preserve">Reenvio com limite, expiração do token e orientação clara.</w:t>
      </w:r>
    </w:p>
    <w:bookmarkEnd w:id="46"/>
    <w:bookmarkStart w:id="47" w:name="auth-04-recuperação-e-redefinição"/>
    <w:p>
      <w:pPr>
        <w:pStyle w:val="Heading4"/>
      </w:pPr>
      <w:r>
        <w:rPr>
          <w:rFonts w:ascii="Calibri" w:hAnsi="Calibri"/>
          <w:b/>
          <w:color w:val="4F81BD"/>
        </w:rPr>
        <w:t xml:space="preserve">AUTH-04 — Recuperação e redefinição</w:t>
      </w:r>
    </w:p>
    <w:p>
      <w:pPr>
        <w:pStyle w:val="FirstParagraph"/>
      </w:pPr>
      <w:r>
        <w:t xml:space="preserve">Fluxo neutro para não revelar contas existentes; token de uso único e expiração.</w:t>
      </w:r>
    </w:p>
    <w:bookmarkEnd w:id="47"/>
    <w:bookmarkStart w:id="48" w:name="auth-05-convite"/>
    <w:p>
      <w:pPr>
        <w:pStyle w:val="Heading4"/>
      </w:pPr>
      <w:r>
        <w:rPr>
          <w:rFonts w:ascii="Calibri" w:hAnsi="Calibri"/>
          <w:b/>
          <w:color w:val="4F81BD"/>
        </w:rPr>
        <w:t xml:space="preserve">AUTH-05 — Convite</w:t>
      </w:r>
    </w:p>
    <w:p>
      <w:pPr>
        <w:pStyle w:val="FirstParagraph"/>
      </w:pPr>
      <w:r>
        <w:t xml:space="preserve">Apresenta escritório, papel, prazo do convite e criação/entrada na conta.</w:t>
      </w:r>
    </w:p>
    <w:bookmarkEnd w:id="48"/>
    <w:bookmarkStart w:id="49" w:name="auth-06-seleção-de-organização"/>
    <w:p>
      <w:pPr>
        <w:pStyle w:val="Heading4"/>
      </w:pPr>
      <w:r>
        <w:rPr>
          <w:rFonts w:ascii="Calibri" w:hAnsi="Calibri"/>
          <w:b/>
          <w:color w:val="4F81BD"/>
        </w:rPr>
        <w:t xml:space="preserve">AUTH-06 — Seleção de organização</w:t>
      </w:r>
    </w:p>
    <w:p>
      <w:pPr>
        <w:pStyle w:val="FirstParagraph"/>
      </w:pPr>
      <w:r>
        <w:t xml:space="preserve">Exibida somente para usuário pertencente a várias organizações.</w:t>
      </w:r>
    </w:p>
    <w:bookmarkEnd w:id="49"/>
    <w:bookmarkEnd w:id="50"/>
    <w:bookmarkStart w:id="57" w:name="onboarding-do-escritório"/>
    <w:p>
      <w:pPr>
        <w:pStyle w:val="Heading3"/>
      </w:pPr>
      <w:r>
        <w:rPr>
          <w:rFonts w:ascii="Calibri" w:hAnsi="Calibri"/>
          <w:b/>
          <w:color w:val="0B1D2B"/>
        </w:rPr>
        <w:t xml:space="preserve">7.3 Onboarding do escritório</w:t>
      </w:r>
    </w:p>
    <w:bookmarkStart w:id="51" w:name="onb-01-boas-vindas"/>
    <w:p>
      <w:pPr>
        <w:pStyle w:val="Heading4"/>
      </w:pPr>
      <w:r>
        <w:rPr>
          <w:rFonts w:ascii="Calibri" w:hAnsi="Calibri"/>
          <w:b/>
          <w:color w:val="4F81BD"/>
        </w:rPr>
        <w:t xml:space="preserve">ONB-01 — Boas-vindas</w:t>
      </w:r>
    </w:p>
    <w:p>
      <w:pPr>
        <w:pStyle w:val="FirstParagraph"/>
      </w:pPr>
      <w:r>
        <w:t xml:space="preserve">Explica quatro passos e mostra progresso salvável.</w:t>
      </w:r>
    </w:p>
    <w:bookmarkEnd w:id="51"/>
    <w:bookmarkStart w:id="52" w:name="onb-02-dados-do-escritório"/>
    <w:p>
      <w:pPr>
        <w:pStyle w:val="Heading4"/>
      </w:pPr>
      <w:r>
        <w:rPr>
          <w:rFonts w:ascii="Calibri" w:hAnsi="Calibri"/>
          <w:b/>
          <w:color w:val="4F81BD"/>
        </w:rPr>
        <w:t xml:space="preserve">ONB-02 — Dados do escritório</w:t>
      </w:r>
    </w:p>
    <w:p>
      <w:pPr>
        <w:pStyle w:val="FirstParagraph"/>
      </w:pPr>
      <w:r>
        <w:t xml:space="preserve">Razão social, nome fantasia, CNPJ, CRC opcional, telefone, e-mail, endereço, fuso horário, logotipo e cor principal.</w:t>
      </w:r>
    </w:p>
    <w:bookmarkEnd w:id="52"/>
    <w:bookmarkStart w:id="53" w:name="onb-03-estrutura"/>
    <w:p>
      <w:pPr>
        <w:pStyle w:val="Heading4"/>
      </w:pPr>
      <w:r>
        <w:rPr>
          <w:rFonts w:ascii="Calibri" w:hAnsi="Calibri"/>
          <w:b/>
          <w:color w:val="4F81BD"/>
        </w:rPr>
        <w:t xml:space="preserve">ONB-03 — Estrutura</w:t>
      </w:r>
    </w:p>
    <w:p>
      <w:pPr>
        <w:pStyle w:val="FirstParagraph"/>
      </w:pPr>
      <w:r>
        <w:t xml:space="preserve">Criação assistida de departamentos e equipes. Sugestões iniciais: Fiscal, Contábil, Pessoal, Societário e Atendimento.</w:t>
      </w:r>
    </w:p>
    <w:bookmarkEnd w:id="53"/>
    <w:bookmarkStart w:id="54" w:name="onb-04-importar-carteira"/>
    <w:p>
      <w:pPr>
        <w:pStyle w:val="Heading4"/>
      </w:pPr>
      <w:r>
        <w:rPr>
          <w:rFonts w:ascii="Calibri" w:hAnsi="Calibri"/>
          <w:b/>
          <w:color w:val="4F81BD"/>
        </w:rPr>
        <w:t xml:space="preserve">ONB-04 — Importar carteira</w:t>
      </w:r>
    </w:p>
    <w:p>
      <w:pPr>
        <w:pStyle w:val="FirstParagraph"/>
      </w:pPr>
      <w:r>
        <w:t xml:space="preserve">Upload CSV/XLSX ou pular. Fornece modelo, pré-visualização, mapeamento de colunas, validação, deduplicação e relatório de erros.</w:t>
      </w:r>
    </w:p>
    <w:bookmarkEnd w:id="54"/>
    <w:bookmarkStart w:id="55" w:name="onb-05-primeiro-template"/>
    <w:p>
      <w:pPr>
        <w:pStyle w:val="Heading4"/>
      </w:pPr>
      <w:r>
        <w:rPr>
          <w:rFonts w:ascii="Calibri" w:hAnsi="Calibri"/>
          <w:b/>
          <w:color w:val="4F81BD"/>
        </w:rPr>
        <w:t xml:space="preserve">ONB-05 — Primeiro template</w:t>
      </w:r>
    </w:p>
    <w:p>
      <w:pPr>
        <w:pStyle w:val="FirstParagraph"/>
      </w:pPr>
      <w:r>
        <w:t xml:space="preserve">Escolher template inicial fornecido pela plataforma ou criar vazio. Templates iniciais são exemplos operacionais, não regras oficiais.</w:t>
      </w:r>
    </w:p>
    <w:bookmarkEnd w:id="55"/>
    <w:bookmarkStart w:id="56" w:name="onb-06-conclusão"/>
    <w:p>
      <w:pPr>
        <w:pStyle w:val="Heading4"/>
      </w:pPr>
      <w:r>
        <w:rPr>
          <w:rFonts w:ascii="Calibri" w:hAnsi="Calibri"/>
          <w:b/>
          <w:color w:val="4F81BD"/>
        </w:rPr>
        <w:t xml:space="preserve">ONB-06 — Conclusão</w:t>
      </w:r>
    </w:p>
    <w:p>
      <w:pPr>
        <w:pStyle w:val="FirstParagraph"/>
      </w:pPr>
      <w:r>
        <w:t xml:space="preserve">Checklist de ativação: escritório configurado, cliente cadastrado, template aplicado, equipe convidada e alertas configurados.</w:t>
      </w:r>
    </w:p>
    <w:bookmarkEnd w:id="56"/>
    <w:bookmarkEnd w:id="57"/>
    <w:bookmarkStart w:id="60" w:name="dashboard"/>
    <w:p>
      <w:pPr>
        <w:pStyle w:val="Heading3"/>
      </w:pPr>
      <w:r>
        <w:rPr>
          <w:rFonts w:ascii="Calibri" w:hAnsi="Calibri"/>
          <w:b/>
          <w:color w:val="0B1D2B"/>
        </w:rPr>
        <w:t xml:space="preserve">7.4 Dashboard</w:t>
      </w:r>
    </w:p>
    <w:bookmarkStart w:id="58" w:name="dash-01-visão-geral"/>
    <w:p>
      <w:pPr>
        <w:pStyle w:val="Heading4"/>
      </w:pPr>
      <w:r>
        <w:rPr>
          <w:rFonts w:ascii="Calibri" w:hAnsi="Calibri"/>
          <w:b/>
          <w:color w:val="4F81BD"/>
        </w:rPr>
        <w:t xml:space="preserve">DASH-01 — Visão geral</w:t>
      </w:r>
    </w:p>
    <w:p>
      <w:pPr>
        <w:pStyle w:val="FirstParagraph"/>
      </w:pPr>
      <w:r>
        <w:t xml:space="preserve">Filtros por período, unidade, departamento, responsável, cliente e tag.</w:t>
      </w:r>
    </w:p>
    <w:p>
      <w:pPr>
        <w:pStyle w:val="BodyText"/>
      </w:pPr>
      <w:r>
        <w:t xml:space="preserve">Indicadores:</w:t>
      </w:r>
    </w:p>
    <w:p>
      <w:pPr>
        <w:numPr>
          <w:ilvl w:val="0"/>
          <w:numId w:val="1009"/>
        </w:numPr>
        <w:pStyle w:val="Compact"/>
      </w:pPr>
      <w:r>
        <w:t xml:space="preserve">empresas ativas;</w:t>
      </w:r>
    </w:p>
    <w:p>
      <w:pPr>
        <w:numPr>
          <w:ilvl w:val="0"/>
          <w:numId w:val="1009"/>
        </w:numPr>
        <w:pStyle w:val="Compact"/>
      </w:pPr>
      <w:r>
        <w:t xml:space="preserve">tarefas abertas;</w:t>
      </w:r>
    </w:p>
    <w:p>
      <w:pPr>
        <w:numPr>
          <w:ilvl w:val="0"/>
          <w:numId w:val="1009"/>
        </w:numPr>
        <w:pStyle w:val="Compact"/>
      </w:pPr>
      <w:r>
        <w:t xml:space="preserve">tarefas vencendo hoje;</w:t>
      </w:r>
    </w:p>
    <w:p>
      <w:pPr>
        <w:numPr>
          <w:ilvl w:val="0"/>
          <w:numId w:val="1009"/>
        </w:numPr>
        <w:pStyle w:val="Compact"/>
      </w:pPr>
      <w:r>
        <w:t xml:space="preserve">atrasadas;</w:t>
      </w:r>
    </w:p>
    <w:p>
      <w:pPr>
        <w:numPr>
          <w:ilvl w:val="0"/>
          <w:numId w:val="1009"/>
        </w:numPr>
        <w:pStyle w:val="Compact"/>
      </w:pPr>
      <w:r>
        <w:t xml:space="preserve">sem responsável;</w:t>
      </w:r>
    </w:p>
    <w:p>
      <w:pPr>
        <w:numPr>
          <w:ilvl w:val="0"/>
          <w:numId w:val="1009"/>
        </w:numPr>
        <w:pStyle w:val="Compact"/>
      </w:pPr>
      <w:r>
        <w:t xml:space="preserve">documentos aguardando cliente;</w:t>
      </w:r>
    </w:p>
    <w:p>
      <w:pPr>
        <w:numPr>
          <w:ilvl w:val="0"/>
          <w:numId w:val="1009"/>
        </w:numPr>
        <w:pStyle w:val="Compact"/>
      </w:pPr>
      <w:r>
        <w:t xml:space="preserve">taxa de conclusão no prazo;</w:t>
      </w:r>
    </w:p>
    <w:p>
      <w:pPr>
        <w:numPr>
          <w:ilvl w:val="0"/>
          <w:numId w:val="1009"/>
        </w:numPr>
        <w:pStyle w:val="Compact"/>
      </w:pPr>
      <w:r>
        <w:t xml:space="preserve">clientes com maior quantidade de pendências.</w:t>
      </w:r>
    </w:p>
    <w:p>
      <w:pPr>
        <w:pStyle w:val="FirstParagraph"/>
      </w:pPr>
      <w:r>
        <w:t xml:space="preserve">Widgets: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O que exige atenção hoje</w:t>
      </w:r>
      <w:r>
        <w:t xml:space="preserve">”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tarefas críticas;</w:t>
      </w:r>
    </w:p>
    <w:p>
      <w:pPr>
        <w:numPr>
          <w:ilvl w:val="0"/>
          <w:numId w:val="1010"/>
        </w:numPr>
        <w:pStyle w:val="Compact"/>
      </w:pPr>
      <w:r>
        <w:t xml:space="preserve">próximos sete dias;</w:t>
      </w:r>
    </w:p>
    <w:p>
      <w:pPr>
        <w:numPr>
          <w:ilvl w:val="0"/>
          <w:numId w:val="1010"/>
        </w:numPr>
        <w:pStyle w:val="Compact"/>
      </w:pPr>
      <w:r>
        <w:t xml:space="preserve">atrasos por departamento;</w:t>
      </w:r>
    </w:p>
    <w:p>
      <w:pPr>
        <w:numPr>
          <w:ilvl w:val="0"/>
          <w:numId w:val="1010"/>
        </w:numPr>
        <w:pStyle w:val="Compact"/>
      </w:pPr>
      <w:r>
        <w:t xml:space="preserve">pendências de documentos;</w:t>
      </w:r>
    </w:p>
    <w:p>
      <w:pPr>
        <w:numPr>
          <w:ilvl w:val="0"/>
          <w:numId w:val="1010"/>
        </w:numPr>
        <w:pStyle w:val="Compact"/>
      </w:pPr>
      <w:r>
        <w:t xml:space="preserve">atividade recente;</w:t>
      </w:r>
    </w:p>
    <w:p>
      <w:pPr>
        <w:numPr>
          <w:ilvl w:val="0"/>
          <w:numId w:val="1010"/>
        </w:numPr>
        <w:pStyle w:val="Compact"/>
      </w:pPr>
      <w:r>
        <w:t xml:space="preserve">novos clientes sem template;</w:t>
      </w:r>
    </w:p>
    <w:p>
      <w:pPr>
        <w:numPr>
          <w:ilvl w:val="0"/>
          <w:numId w:val="1010"/>
        </w:numPr>
        <w:pStyle w:val="Compact"/>
      </w:pPr>
      <w:r>
        <w:t xml:space="preserve">atalhos rápidos.</w:t>
      </w:r>
    </w:p>
    <w:p>
      <w:pPr>
        <w:pStyle w:val="FirstParagraph"/>
      </w:pPr>
      <w:r>
        <w:t xml:space="preserve">Cada cartão é clicável e abre a lista já filtrada. Indicadores respeitam permissões.</w:t>
      </w:r>
    </w:p>
    <w:bookmarkEnd w:id="58"/>
    <w:bookmarkStart w:id="59" w:name="dash-02-meu-trabalho"/>
    <w:p>
      <w:pPr>
        <w:pStyle w:val="Heading4"/>
      </w:pPr>
      <w:r>
        <w:rPr>
          <w:rFonts w:ascii="Calibri" w:hAnsi="Calibri"/>
          <w:b/>
          <w:color w:val="4F81BD"/>
        </w:rPr>
        <w:t xml:space="preserve">DASH-02 — Meu trabalho</w:t>
      </w:r>
    </w:p>
    <w:p>
      <w:pPr>
        <w:pStyle w:val="FirstParagraph"/>
      </w:pPr>
      <w:r>
        <w:t xml:space="preserve">Mostra apenas tarefas do usuário: hoje, atrasadas, próximas, aguardando terceiro e concluídas recentemente.</w:t>
      </w:r>
    </w:p>
    <w:bookmarkEnd w:id="59"/>
    <w:bookmarkEnd w:id="60"/>
    <w:bookmarkStart w:id="67" w:name="empresas-clientes"/>
    <w:p>
      <w:pPr>
        <w:pStyle w:val="Heading3"/>
      </w:pPr>
      <w:r>
        <w:rPr>
          <w:rFonts w:ascii="Calibri" w:hAnsi="Calibri"/>
          <w:b/>
          <w:color w:val="0B1D2B"/>
        </w:rPr>
        <w:t xml:space="preserve">7.5 Empresas-clientes</w:t>
      </w:r>
    </w:p>
    <w:bookmarkStart w:id="61" w:name="cli-01-lista"/>
    <w:p>
      <w:pPr>
        <w:pStyle w:val="Heading4"/>
      </w:pPr>
      <w:r>
        <w:rPr>
          <w:rFonts w:ascii="Calibri" w:hAnsi="Calibri"/>
          <w:b/>
          <w:color w:val="4F81BD"/>
        </w:rPr>
        <w:t xml:space="preserve">CLI-01 — Lista</w:t>
      </w:r>
    </w:p>
    <w:p>
      <w:pPr>
        <w:pStyle w:val="FirstParagraph"/>
      </w:pPr>
      <w:r>
        <w:t xml:space="preserve">Busca, filtros, colunas configuráveis, ordenação, paginação, seleção em massa, exportação e ações: cadastrar, importar, aplicar template, alterar responsável, adicionar tag e arquivar.</w:t>
      </w:r>
    </w:p>
    <w:p>
      <w:pPr>
        <w:pStyle w:val="BodyText"/>
      </w:pPr>
      <w:r>
        <w:t xml:space="preserve">Colunas padrão: nome fantasia, CNPJ, regime, responsável, templates ativos, tarefas atrasadas, próxima data e status.</w:t>
      </w:r>
    </w:p>
    <w:bookmarkEnd w:id="61"/>
    <w:bookmarkStart w:id="62" w:name="cli-02-novoeditar"/>
    <w:p>
      <w:pPr>
        <w:pStyle w:val="Heading4"/>
      </w:pPr>
      <w:r>
        <w:rPr>
          <w:rFonts w:ascii="Calibri" w:hAnsi="Calibri"/>
          <w:b/>
          <w:color w:val="4F81BD"/>
        </w:rPr>
        <w:t xml:space="preserve">CLI-02 — Novo/editar</w:t>
      </w:r>
    </w:p>
    <w:p>
      <w:pPr>
        <w:pStyle w:val="FirstParagraph"/>
      </w:pPr>
      <w:r>
        <w:t xml:space="preserve">Campos:</w:t>
      </w:r>
    </w:p>
    <w:p>
      <w:pPr>
        <w:numPr>
          <w:ilvl w:val="0"/>
          <w:numId w:val="1011"/>
        </w:numPr>
        <w:pStyle w:val="Compact"/>
      </w:pPr>
      <w:r>
        <w:t xml:space="preserve">razão social e nome fantasia;</w:t>
      </w:r>
    </w:p>
    <w:p>
      <w:pPr>
        <w:numPr>
          <w:ilvl w:val="0"/>
          <w:numId w:val="1011"/>
        </w:numPr>
        <w:pStyle w:val="Compact"/>
      </w:pPr>
      <w:r>
        <w:t xml:space="preserve">CNPJ com validação de dígitos;</w:t>
      </w:r>
    </w:p>
    <w:p>
      <w:pPr>
        <w:numPr>
          <w:ilvl w:val="0"/>
          <w:numId w:val="1011"/>
        </w:numPr>
        <w:pStyle w:val="Compact"/>
      </w:pPr>
      <w:r>
        <w:t xml:space="preserve">inscrição estadual e municipal;</w:t>
      </w:r>
    </w:p>
    <w:p>
      <w:pPr>
        <w:numPr>
          <w:ilvl w:val="0"/>
          <w:numId w:val="1011"/>
        </w:numPr>
        <w:pStyle w:val="Compact"/>
      </w:pPr>
      <w:r>
        <w:t xml:space="preserve">CNAE principal e secundários como informação;</w:t>
      </w:r>
    </w:p>
    <w:p>
      <w:pPr>
        <w:numPr>
          <w:ilvl w:val="0"/>
          <w:numId w:val="1011"/>
        </w:numPr>
        <w:pStyle w:val="Compact"/>
      </w:pPr>
      <w:r>
        <w:t xml:space="preserve">regime tributário;</w:t>
      </w:r>
    </w:p>
    <w:p>
      <w:pPr>
        <w:numPr>
          <w:ilvl w:val="0"/>
          <w:numId w:val="1011"/>
        </w:numPr>
        <w:pStyle w:val="Compact"/>
      </w:pPr>
      <w:r>
        <w:t xml:space="preserve">porte;</w:t>
      </w:r>
    </w:p>
    <w:p>
      <w:pPr>
        <w:numPr>
          <w:ilvl w:val="0"/>
          <w:numId w:val="1011"/>
        </w:numPr>
        <w:pStyle w:val="Compact"/>
      </w:pPr>
      <w:r>
        <w:t xml:space="preserve">segmento;</w:t>
      </w:r>
    </w:p>
    <w:p>
      <w:pPr>
        <w:numPr>
          <w:ilvl w:val="0"/>
          <w:numId w:val="1011"/>
        </w:numPr>
        <w:pStyle w:val="Compact"/>
      </w:pPr>
      <w:r>
        <w:t xml:space="preserve">data de abertura;</w:t>
      </w:r>
    </w:p>
    <w:p>
      <w:pPr>
        <w:numPr>
          <w:ilvl w:val="0"/>
          <w:numId w:val="1011"/>
        </w:numPr>
        <w:pStyle w:val="Compact"/>
      </w:pPr>
      <w:r>
        <w:t xml:space="preserve">status;</w:t>
      </w:r>
    </w:p>
    <w:p>
      <w:pPr>
        <w:numPr>
          <w:ilvl w:val="0"/>
          <w:numId w:val="1011"/>
        </w:numPr>
        <w:pStyle w:val="Compact"/>
      </w:pPr>
      <w:r>
        <w:t xml:space="preserve">unidade do escritório;</w:t>
      </w:r>
    </w:p>
    <w:p>
      <w:pPr>
        <w:numPr>
          <w:ilvl w:val="0"/>
          <w:numId w:val="1011"/>
        </w:numPr>
        <w:pStyle w:val="Compact"/>
      </w:pPr>
      <w:r>
        <w:t xml:space="preserve">responsável principal;</w:t>
      </w:r>
    </w:p>
    <w:p>
      <w:pPr>
        <w:numPr>
          <w:ilvl w:val="0"/>
          <w:numId w:val="1011"/>
        </w:numPr>
        <w:pStyle w:val="Compact"/>
      </w:pPr>
      <w:r>
        <w:t xml:space="preserve">departamentos responsáveis;</w:t>
      </w:r>
    </w:p>
    <w:p>
      <w:pPr>
        <w:numPr>
          <w:ilvl w:val="0"/>
          <w:numId w:val="1011"/>
        </w:numPr>
        <w:pStyle w:val="Compact"/>
      </w:pPr>
      <w:r>
        <w:t xml:space="preserve">contatos;</w:t>
      </w:r>
    </w:p>
    <w:p>
      <w:pPr>
        <w:numPr>
          <w:ilvl w:val="0"/>
          <w:numId w:val="1011"/>
        </w:numPr>
        <w:pStyle w:val="Compact"/>
      </w:pPr>
      <w:r>
        <w:t xml:space="preserve">endereço;</w:t>
      </w:r>
    </w:p>
    <w:p>
      <w:pPr>
        <w:numPr>
          <w:ilvl w:val="0"/>
          <w:numId w:val="1011"/>
        </w:numPr>
        <w:pStyle w:val="Compact"/>
      </w:pPr>
      <w:r>
        <w:t xml:space="preserve">tags;</w:t>
      </w:r>
    </w:p>
    <w:p>
      <w:pPr>
        <w:numPr>
          <w:ilvl w:val="0"/>
          <w:numId w:val="1011"/>
        </w:numPr>
        <w:pStyle w:val="Compact"/>
      </w:pPr>
      <w:r>
        <w:t xml:space="preserve">observações internas;</w:t>
      </w:r>
    </w:p>
    <w:p>
      <w:pPr>
        <w:numPr>
          <w:ilvl w:val="0"/>
          <w:numId w:val="1011"/>
        </w:numPr>
        <w:pStyle w:val="Compact"/>
      </w:pPr>
      <w:r>
        <w:t xml:space="preserve">data de início do atendimento.</w:t>
      </w:r>
    </w:p>
    <w:p>
      <w:pPr>
        <w:pStyle w:val="FirstParagraph"/>
      </w:pPr>
      <w:r>
        <w:t xml:space="preserve">O MVP não consulta Receita Federal automaticamente. CNPJ pode ser repetido em organizações diferentes, mas não dentro da mesma organização enquanto o registro estiver ativo.</w:t>
      </w:r>
    </w:p>
    <w:bookmarkEnd w:id="62"/>
    <w:bookmarkStart w:id="63" w:name="cli-03-perfil-do-cliente"/>
    <w:p>
      <w:pPr>
        <w:pStyle w:val="Heading4"/>
      </w:pPr>
      <w:r>
        <w:rPr>
          <w:rFonts w:ascii="Calibri" w:hAnsi="Calibri"/>
          <w:b/>
          <w:color w:val="4F81BD"/>
        </w:rPr>
        <w:t xml:space="preserve">CLI-03 — Perfil do cliente</w:t>
      </w:r>
    </w:p>
    <w:p>
      <w:pPr>
        <w:pStyle w:val="FirstParagraph"/>
      </w:pPr>
      <w:r>
        <w:t xml:space="preserve">Cabeçalho com identidade, status, responsáveis, saúde operacional e ações. Abas:</w:t>
      </w:r>
    </w:p>
    <w:p>
      <w:pPr>
        <w:numPr>
          <w:ilvl w:val="0"/>
          <w:numId w:val="1012"/>
        </w:numPr>
        <w:pStyle w:val="Compact"/>
      </w:pPr>
      <w:r>
        <w:t xml:space="preserve">Resumo;</w:t>
      </w:r>
    </w:p>
    <w:p>
      <w:pPr>
        <w:numPr>
          <w:ilvl w:val="0"/>
          <w:numId w:val="1012"/>
        </w:numPr>
        <w:pStyle w:val="Compact"/>
      </w:pPr>
      <w:r>
        <w:t xml:space="preserve">Tarefas;</w:t>
      </w:r>
    </w:p>
    <w:p>
      <w:pPr>
        <w:numPr>
          <w:ilvl w:val="0"/>
          <w:numId w:val="1012"/>
        </w:numPr>
        <w:pStyle w:val="Compact"/>
      </w:pPr>
      <w:r>
        <w:t xml:space="preserve">Templates aplicados;</w:t>
      </w:r>
    </w:p>
    <w:p>
      <w:pPr>
        <w:numPr>
          <w:ilvl w:val="0"/>
          <w:numId w:val="1012"/>
        </w:numPr>
        <w:pStyle w:val="Compact"/>
      </w:pPr>
      <w:r>
        <w:t xml:space="preserve">Documentos;</w:t>
      </w:r>
    </w:p>
    <w:p>
      <w:pPr>
        <w:numPr>
          <w:ilvl w:val="0"/>
          <w:numId w:val="1012"/>
        </w:numPr>
        <w:pStyle w:val="Compact"/>
      </w:pPr>
      <w:r>
        <w:t xml:space="preserve">Calendário;</w:t>
      </w:r>
    </w:p>
    <w:p>
      <w:pPr>
        <w:numPr>
          <w:ilvl w:val="0"/>
          <w:numId w:val="1012"/>
        </w:numPr>
        <w:pStyle w:val="Compact"/>
      </w:pPr>
      <w:r>
        <w:t xml:space="preserve">Contatos;</w:t>
      </w:r>
    </w:p>
    <w:p>
      <w:pPr>
        <w:numPr>
          <w:ilvl w:val="0"/>
          <w:numId w:val="1012"/>
        </w:numPr>
        <w:pStyle w:val="Compact"/>
      </w:pPr>
      <w:r>
        <w:t xml:space="preserve">Comentários;</w:t>
      </w:r>
    </w:p>
    <w:p>
      <w:pPr>
        <w:numPr>
          <w:ilvl w:val="0"/>
          <w:numId w:val="1012"/>
        </w:numPr>
        <w:pStyle w:val="Compact"/>
      </w:pPr>
      <w:r>
        <w:t xml:space="preserve">Histórico;</w:t>
      </w:r>
    </w:p>
    <w:p>
      <w:pPr>
        <w:numPr>
          <w:ilvl w:val="0"/>
          <w:numId w:val="1012"/>
        </w:numPr>
        <w:pStyle w:val="Compact"/>
      </w:pPr>
      <w:r>
        <w:t xml:space="preserve">Configurações do portal.</w:t>
      </w:r>
    </w:p>
    <w:bookmarkEnd w:id="63"/>
    <w:bookmarkStart w:id="64" w:name="cli-04-aplicar-template"/>
    <w:p>
      <w:pPr>
        <w:pStyle w:val="Heading4"/>
      </w:pPr>
      <w:r>
        <w:rPr>
          <w:rFonts w:ascii="Calibri" w:hAnsi="Calibri"/>
          <w:b/>
          <w:color w:val="4F81BD"/>
        </w:rPr>
        <w:t xml:space="preserve">CLI-04 — Aplicar template</w:t>
      </w:r>
    </w:p>
    <w:p>
      <w:pPr>
        <w:pStyle w:val="FirstParagraph"/>
      </w:pPr>
      <w:r>
        <w:t xml:space="preserve">Wizard:</w:t>
      </w:r>
    </w:p>
    <w:p>
      <w:pPr>
        <w:numPr>
          <w:ilvl w:val="0"/>
          <w:numId w:val="1013"/>
        </w:numPr>
        <w:pStyle w:val="Compact"/>
      </w:pPr>
      <w:r>
        <w:t xml:space="preserve">selecionar template e versão publicada;</w:t>
      </w:r>
    </w:p>
    <w:p>
      <w:pPr>
        <w:numPr>
          <w:ilvl w:val="0"/>
          <w:numId w:val="1013"/>
        </w:numPr>
        <w:pStyle w:val="Compact"/>
      </w:pPr>
      <w:r>
        <w:t xml:space="preserve">informar data-base e variáveis;</w:t>
      </w:r>
    </w:p>
    <w:p>
      <w:pPr>
        <w:numPr>
          <w:ilvl w:val="0"/>
          <w:numId w:val="1013"/>
        </w:numPr>
        <w:pStyle w:val="Compact"/>
      </w:pPr>
      <w:r>
        <w:t xml:space="preserve">mapear papéis/departamentos para usuários;</w:t>
      </w:r>
    </w:p>
    <w:p>
      <w:pPr>
        <w:numPr>
          <w:ilvl w:val="0"/>
          <w:numId w:val="1013"/>
        </w:numPr>
        <w:pStyle w:val="Compact"/>
      </w:pPr>
      <w:r>
        <w:t xml:space="preserve">revisar datas e recorrências;</w:t>
      </w:r>
    </w:p>
    <w:p>
      <w:pPr>
        <w:numPr>
          <w:ilvl w:val="0"/>
          <w:numId w:val="1013"/>
        </w:numPr>
        <w:pStyle w:val="Compact"/>
      </w:pPr>
      <w:r>
        <w:t xml:space="preserve">revisar itens que serão criados;</w:t>
      </w:r>
    </w:p>
    <w:p>
      <w:pPr>
        <w:numPr>
          <w:ilvl w:val="0"/>
          <w:numId w:val="1013"/>
        </w:numPr>
        <w:pStyle w:val="Compact"/>
      </w:pPr>
      <w:r>
        <w:t xml:space="preserve">confirmar.</w:t>
      </w:r>
    </w:p>
    <w:p>
      <w:pPr>
        <w:pStyle w:val="FirstParagraph"/>
      </w:pPr>
      <w:r>
        <w:t xml:space="preserve">Exibe número de etapas, tarefas, checklists, documentos e primeira/última data. Permite desmarcar itens opcionais, nunca editar silenciosamente a versão original.</w:t>
      </w:r>
    </w:p>
    <w:bookmarkEnd w:id="64"/>
    <w:bookmarkStart w:id="65" w:name="cli-05-arquivar-cliente"/>
    <w:p>
      <w:pPr>
        <w:pStyle w:val="Heading4"/>
      </w:pPr>
      <w:r>
        <w:rPr>
          <w:rFonts w:ascii="Calibri" w:hAnsi="Calibri"/>
          <w:b/>
          <w:color w:val="4F81BD"/>
        </w:rPr>
        <w:t xml:space="preserve">CLI-05 — Arquivar cliente</w:t>
      </w:r>
    </w:p>
    <w:p>
      <w:pPr>
        <w:pStyle w:val="FirstParagraph"/>
      </w:pPr>
      <w:r>
        <w:t xml:space="preserve">Exibe impactos: tarefas abertas, portal, documentos e cobrança de cota. Arquivar bloqueia novas recorrências e acesso do cliente, mas preserva histórico. Reativação exige permissão e disponibilidade de cota.</w:t>
      </w:r>
    </w:p>
    <w:bookmarkEnd w:id="65"/>
    <w:bookmarkStart w:id="66" w:name="cli-06-importação"/>
    <w:p>
      <w:pPr>
        <w:pStyle w:val="Heading4"/>
      </w:pPr>
      <w:r>
        <w:rPr>
          <w:rFonts w:ascii="Calibri" w:hAnsi="Calibri"/>
          <w:b/>
          <w:color w:val="4F81BD"/>
        </w:rPr>
        <w:t xml:space="preserve">CLI-06 — Importação</w:t>
      </w:r>
    </w:p>
    <w:p>
      <w:pPr>
        <w:pStyle w:val="FirstParagraph"/>
      </w:pPr>
      <w:r>
        <w:t xml:space="preserve">Upload, mapeamento, prévia, validação, confirmação, processamento assíncrono e relatório final. Nenhuma linha inválida deve impedir as válidas quando a importação parcial for escolhida.</w:t>
      </w:r>
    </w:p>
    <w:bookmarkEnd w:id="66"/>
    <w:bookmarkEnd w:id="67"/>
    <w:bookmarkStart w:id="77" w:name="templates-operacionais"/>
    <w:p>
      <w:pPr>
        <w:pStyle w:val="Heading3"/>
      </w:pPr>
      <w:r>
        <w:rPr>
          <w:rFonts w:ascii="Calibri" w:hAnsi="Calibri"/>
          <w:b/>
          <w:color w:val="0B1D2B"/>
        </w:rPr>
        <w:t xml:space="preserve">7.6 Templates operacionais</w:t>
      </w:r>
    </w:p>
    <w:bookmarkStart w:id="68" w:name="tmp-01-biblioteca"/>
    <w:p>
      <w:pPr>
        <w:pStyle w:val="Heading4"/>
      </w:pPr>
      <w:r>
        <w:rPr>
          <w:rFonts w:ascii="Calibri" w:hAnsi="Calibri"/>
          <w:b/>
          <w:color w:val="4F81BD"/>
        </w:rPr>
        <w:t xml:space="preserve">TMP-01 — Biblioteca</w:t>
      </w:r>
    </w:p>
    <w:p>
      <w:pPr>
        <w:pStyle w:val="FirstParagraph"/>
      </w:pPr>
      <w:r>
        <w:t xml:space="preserve">Cards ou tabela com nome, categoria, versão publicada, quantidade de usos, responsável, atualização e status: rascunho, publicado, arquivado.</w:t>
      </w:r>
    </w:p>
    <w:p>
      <w:pPr>
        <w:pStyle w:val="BodyText"/>
      </w:pPr>
      <w:r>
        <w:t xml:space="preserve">Filtros por categoria, tag, autor e status. Ações: criar, clonar, visualizar, editar rascunho, publicar, arquivar e exportar.</w:t>
      </w:r>
    </w:p>
    <w:bookmarkEnd w:id="68"/>
    <w:bookmarkStart w:id="69" w:name="tmp-02-criareditar-metadados"/>
    <w:p>
      <w:pPr>
        <w:pStyle w:val="Heading4"/>
      </w:pPr>
      <w:r>
        <w:rPr>
          <w:rFonts w:ascii="Calibri" w:hAnsi="Calibri"/>
          <w:b/>
          <w:color w:val="4F81BD"/>
        </w:rPr>
        <w:t xml:space="preserve">TMP-02 — Criar/editar metadados</w:t>
      </w:r>
    </w:p>
    <w:p>
      <w:pPr>
        <w:pStyle w:val="FirstParagraph"/>
      </w:pPr>
      <w:r>
        <w:t xml:space="preserve">Nome, código interno, descrição, finalidade, categoria, cor, ícone, tags, responsável técnico, instruções, aviso, periodicidade padrão e variáveis solicitadas na aplicação.</w:t>
      </w:r>
    </w:p>
    <w:bookmarkEnd w:id="69"/>
    <w:bookmarkStart w:id="70" w:name="tmp-03-editor"/>
    <w:p>
      <w:pPr>
        <w:pStyle w:val="Heading4"/>
      </w:pPr>
      <w:r>
        <w:rPr>
          <w:rFonts w:ascii="Calibri" w:hAnsi="Calibri"/>
          <w:b/>
          <w:color w:val="4F81BD"/>
        </w:rPr>
        <w:t xml:space="preserve">TMP-03 — Editor</w:t>
      </w:r>
    </w:p>
    <w:p>
      <w:pPr>
        <w:pStyle w:val="FirstParagraph"/>
      </w:pPr>
      <w:r>
        <w:t xml:space="preserve">Estrutura hierárquica:</w:t>
      </w:r>
    </w:p>
    <w:p>
      <w:pPr>
        <w:pStyle w:val="BodyText"/>
      </w:pPr>
      <w:r>
        <w:rPr>
          <w:rStyle w:val="VerbatimChar"/>
        </w:rPr>
        <w:t xml:space="preserve">Template → Etapas → Tarefas → Checklist → Documentos esperados</w:t>
      </w:r>
    </w:p>
    <w:p>
      <w:pPr>
        <w:pStyle w:val="BodyText"/>
      </w:pPr>
      <w:r>
        <w:t xml:space="preserve">Editor com reordenação, duplicação e recolhimento de blocos. Cada etapa possui nome, descrição, ordem e condição opcional manual.</w:t>
      </w:r>
    </w:p>
    <w:p>
      <w:pPr>
        <w:pStyle w:val="BodyText"/>
      </w:pPr>
      <w:r>
        <w:t xml:space="preserve">Cada tarefa do template possui:</w:t>
      </w:r>
    </w:p>
    <w:p>
      <w:pPr>
        <w:numPr>
          <w:ilvl w:val="0"/>
          <w:numId w:val="1014"/>
        </w:numPr>
        <w:pStyle w:val="Compact"/>
      </w:pPr>
      <w:r>
        <w:t xml:space="preserve">título e descrição;</w:t>
      </w:r>
    </w:p>
    <w:p>
      <w:pPr>
        <w:numPr>
          <w:ilvl w:val="0"/>
          <w:numId w:val="1014"/>
        </w:numPr>
        <w:pStyle w:val="Compact"/>
      </w:pPr>
      <w:r>
        <w:t xml:space="preserve">categoria;</w:t>
      </w:r>
    </w:p>
    <w:p>
      <w:pPr>
        <w:numPr>
          <w:ilvl w:val="0"/>
          <w:numId w:val="1014"/>
        </w:numPr>
        <w:pStyle w:val="Compact"/>
      </w:pPr>
      <w:r>
        <w:t xml:space="preserve">prioridade;</w:t>
      </w:r>
    </w:p>
    <w:p>
      <w:pPr>
        <w:numPr>
          <w:ilvl w:val="0"/>
          <w:numId w:val="1014"/>
        </w:numPr>
        <w:pStyle w:val="Compact"/>
      </w:pPr>
      <w:r>
        <w:t xml:space="preserve">departamento ou papel responsável;</w:t>
      </w:r>
    </w:p>
    <w:p>
      <w:pPr>
        <w:numPr>
          <w:ilvl w:val="0"/>
          <w:numId w:val="1014"/>
        </w:numPr>
        <w:pStyle w:val="Compact"/>
      </w:pPr>
      <w:r>
        <w:t xml:space="preserve">revisor opcional;</w:t>
      </w:r>
    </w:p>
    <w:p>
      <w:pPr>
        <w:numPr>
          <w:ilvl w:val="0"/>
          <w:numId w:val="1014"/>
        </w:numPr>
        <w:pStyle w:val="Compact"/>
      </w:pPr>
      <w:r>
        <w:t xml:space="preserve">regra de data;</w:t>
      </w:r>
    </w:p>
    <w:p>
      <w:pPr>
        <w:numPr>
          <w:ilvl w:val="0"/>
          <w:numId w:val="1014"/>
        </w:numPr>
        <w:pStyle w:val="Compact"/>
      </w:pPr>
      <w:r>
        <w:t xml:space="preserve">duração estimada;</w:t>
      </w:r>
    </w:p>
    <w:p>
      <w:pPr>
        <w:numPr>
          <w:ilvl w:val="0"/>
          <w:numId w:val="1014"/>
        </w:numPr>
        <w:pStyle w:val="Compact"/>
      </w:pPr>
      <w:r>
        <w:t xml:space="preserve">recorrência;</w:t>
      </w:r>
    </w:p>
    <w:p>
      <w:pPr>
        <w:numPr>
          <w:ilvl w:val="0"/>
          <w:numId w:val="1014"/>
        </w:numPr>
        <w:pStyle w:val="Compact"/>
      </w:pPr>
      <w:r>
        <w:t xml:space="preserve">status inicial;</w:t>
      </w:r>
    </w:p>
    <w:p>
      <w:pPr>
        <w:numPr>
          <w:ilvl w:val="0"/>
          <w:numId w:val="1014"/>
        </w:numPr>
        <w:pStyle w:val="Compact"/>
      </w:pPr>
      <w:r>
        <w:t xml:space="preserve">bloqueios/dependências;</w:t>
      </w:r>
    </w:p>
    <w:p>
      <w:pPr>
        <w:numPr>
          <w:ilvl w:val="0"/>
          <w:numId w:val="1014"/>
        </w:numPr>
        <w:pStyle w:val="Compact"/>
      </w:pPr>
      <w:r>
        <w:t xml:space="preserve">checklist;</w:t>
      </w:r>
    </w:p>
    <w:p>
      <w:pPr>
        <w:numPr>
          <w:ilvl w:val="0"/>
          <w:numId w:val="1014"/>
        </w:numPr>
        <w:pStyle w:val="Compact"/>
      </w:pPr>
      <w:r>
        <w:t xml:space="preserve">documentos esperados;</w:t>
      </w:r>
    </w:p>
    <w:p>
      <w:pPr>
        <w:numPr>
          <w:ilvl w:val="0"/>
          <w:numId w:val="1014"/>
        </w:numPr>
        <w:pStyle w:val="Compact"/>
      </w:pPr>
      <w:r>
        <w:t xml:space="preserve">instruções para equipe;</w:t>
      </w:r>
    </w:p>
    <w:p>
      <w:pPr>
        <w:numPr>
          <w:ilvl w:val="0"/>
          <w:numId w:val="1014"/>
        </w:numPr>
        <w:pStyle w:val="Compact"/>
      </w:pPr>
      <w:r>
        <w:t xml:space="preserve">instruções visíveis ao cliente;</w:t>
      </w:r>
    </w:p>
    <w:p>
      <w:pPr>
        <w:numPr>
          <w:ilvl w:val="0"/>
          <w:numId w:val="1014"/>
        </w:numPr>
        <w:pStyle w:val="Compact"/>
      </w:pPr>
      <w:r>
        <w:t xml:space="preserve">visibilidade no portal;</w:t>
      </w:r>
    </w:p>
    <w:p>
      <w:pPr>
        <w:numPr>
          <w:ilvl w:val="0"/>
          <w:numId w:val="1014"/>
        </w:numPr>
        <w:pStyle w:val="Compact"/>
      </w:pPr>
      <w:r>
        <w:t xml:space="preserve">lembretes;</w:t>
      </w:r>
    </w:p>
    <w:p>
      <w:pPr>
        <w:numPr>
          <w:ilvl w:val="0"/>
          <w:numId w:val="1014"/>
        </w:numPr>
        <w:pStyle w:val="Compact"/>
      </w:pPr>
      <w:r>
        <w:t xml:space="preserve">item obrigatório ou opcional.</w:t>
      </w:r>
    </w:p>
    <w:bookmarkEnd w:id="70"/>
    <w:bookmarkStart w:id="71" w:name="tmp-04-regras-de-data"/>
    <w:p>
      <w:pPr>
        <w:pStyle w:val="Heading4"/>
      </w:pPr>
      <w:r>
        <w:rPr>
          <w:rFonts w:ascii="Calibri" w:hAnsi="Calibri"/>
          <w:b/>
          <w:color w:val="4F81BD"/>
        </w:rPr>
        <w:t xml:space="preserve">TMP-04 — Regras de data</w:t>
      </w:r>
    </w:p>
    <w:p>
      <w:pPr>
        <w:pStyle w:val="FirstParagraph"/>
      </w:pPr>
      <w:r>
        <w:t xml:space="preserve">Opções:</w:t>
      </w:r>
    </w:p>
    <w:p>
      <w:pPr>
        <w:numPr>
          <w:ilvl w:val="0"/>
          <w:numId w:val="1015"/>
        </w:numPr>
        <w:pStyle w:val="Compact"/>
      </w:pPr>
      <w:r>
        <w:t xml:space="preserve">na data-base;</w:t>
      </w:r>
    </w:p>
    <w:p>
      <w:pPr>
        <w:numPr>
          <w:ilvl w:val="0"/>
          <w:numId w:val="1015"/>
        </w:numPr>
        <w:pStyle w:val="Compact"/>
      </w:pPr>
      <w:r>
        <w:t xml:space="preserve">N dias antes/depois da data-base;</w:t>
      </w:r>
    </w:p>
    <w:p>
      <w:pPr>
        <w:numPr>
          <w:ilvl w:val="0"/>
          <w:numId w:val="1015"/>
        </w:numPr>
        <w:pStyle w:val="Compact"/>
      </w:pPr>
      <w:r>
        <w:t xml:space="preserve">N dias após aplicação;</w:t>
      </w:r>
    </w:p>
    <w:p>
      <w:pPr>
        <w:numPr>
          <w:ilvl w:val="0"/>
          <w:numId w:val="1015"/>
        </w:numPr>
        <w:pStyle w:val="Compact"/>
      </w:pPr>
      <w:r>
        <w:t xml:space="preserve">N dias após conclusão de outra tarefa;</w:t>
      </w:r>
    </w:p>
    <w:p>
      <w:pPr>
        <w:numPr>
          <w:ilvl w:val="0"/>
          <w:numId w:val="1015"/>
        </w:numPr>
        <w:pStyle w:val="Compact"/>
      </w:pPr>
      <w:r>
        <w:t xml:space="preserve">dia fixo do mês;</w:t>
      </w:r>
    </w:p>
    <w:p>
      <w:pPr>
        <w:numPr>
          <w:ilvl w:val="0"/>
          <w:numId w:val="1015"/>
        </w:numPr>
        <w:pStyle w:val="Compact"/>
      </w:pPr>
      <w:r>
        <w:t xml:space="preserve">primeiro ou último dia útil;</w:t>
      </w:r>
    </w:p>
    <w:p>
      <w:pPr>
        <w:numPr>
          <w:ilvl w:val="0"/>
          <w:numId w:val="1015"/>
        </w:numPr>
        <w:pStyle w:val="Compact"/>
      </w:pPr>
      <w:r>
        <w:t xml:space="preserve">dia da semana;</w:t>
      </w:r>
    </w:p>
    <w:p>
      <w:pPr>
        <w:numPr>
          <w:ilvl w:val="0"/>
          <w:numId w:val="1015"/>
        </w:numPr>
        <w:pStyle w:val="Compact"/>
      </w:pPr>
      <w:r>
        <w:t xml:space="preserve">data informada por variável;</w:t>
      </w:r>
    </w:p>
    <w:p>
      <w:pPr>
        <w:numPr>
          <w:ilvl w:val="0"/>
          <w:numId w:val="1015"/>
        </w:numPr>
        <w:pStyle w:val="Compact"/>
      </w:pPr>
      <w:r>
        <w:t xml:space="preserve">sem prazo.</w:t>
      </w:r>
    </w:p>
    <w:p>
      <w:pPr>
        <w:pStyle w:val="FirstParagraph"/>
      </w:pPr>
      <w:r>
        <w:t xml:space="preserve">Calendário de dias úteis do MVP considera fins de semana e feriados cadastrados manualmente por organização. Não haverá fonte oficial automática de feriados.</w:t>
      </w:r>
    </w:p>
    <w:bookmarkEnd w:id="71"/>
    <w:bookmarkStart w:id="72" w:name="tmp-05-recorrência"/>
    <w:p>
      <w:pPr>
        <w:pStyle w:val="Heading4"/>
      </w:pPr>
      <w:r>
        <w:rPr>
          <w:rFonts w:ascii="Calibri" w:hAnsi="Calibri"/>
          <w:b/>
          <w:color w:val="4F81BD"/>
        </w:rPr>
        <w:t xml:space="preserve">TMP-05 — Recorrência</w:t>
      </w:r>
    </w:p>
    <w:p>
      <w:pPr>
        <w:pStyle w:val="FirstParagraph"/>
      </w:pPr>
      <w:r>
        <w:t xml:space="preserve">Diária, semanal, mensal, bimestral, trimestral, semestral, anual ou personalizada. Define início, fim, limite de ocorrências, política para fim de semana e antecedência de geração.</w:t>
      </w:r>
    </w:p>
    <w:bookmarkEnd w:id="72"/>
    <w:bookmarkStart w:id="73" w:name="tmp-06-pré-visualização"/>
    <w:p>
      <w:pPr>
        <w:pStyle w:val="Heading4"/>
      </w:pPr>
      <w:r>
        <w:rPr>
          <w:rFonts w:ascii="Calibri" w:hAnsi="Calibri"/>
          <w:b/>
          <w:color w:val="4F81BD"/>
        </w:rPr>
        <w:t xml:space="preserve">TMP-06 — Pré-visualização</w:t>
      </w:r>
    </w:p>
    <w:p>
      <w:pPr>
        <w:pStyle w:val="FirstParagraph"/>
      </w:pPr>
      <w:r>
        <w:t xml:space="preserve">Simula aplicação com uma data-base, exibe linha do tempo e alerta para tarefas sem responsável, dependências circulares, datas impossíveis e campos incompletos.</w:t>
      </w:r>
    </w:p>
    <w:bookmarkEnd w:id="73"/>
    <w:bookmarkStart w:id="74" w:name="tmp-07-publicação"/>
    <w:p>
      <w:pPr>
        <w:pStyle w:val="Heading4"/>
      </w:pPr>
      <w:r>
        <w:rPr>
          <w:rFonts w:ascii="Calibri" w:hAnsi="Calibri"/>
          <w:b/>
          <w:color w:val="4F81BD"/>
        </w:rPr>
        <w:t xml:space="preserve">TMP-07 — Publicação</w:t>
      </w:r>
    </w:p>
    <w:p>
      <w:pPr>
        <w:pStyle w:val="FirstParagraph"/>
      </w:pPr>
      <w:r>
        <w:t xml:space="preserve">Publicar cria versão imutável. Exige nome, ao menos uma etapa e uma tarefa, validações aprovadas e confirmação. Nova alteração cria rascunho da próxima versão.</w:t>
      </w:r>
    </w:p>
    <w:bookmarkEnd w:id="74"/>
    <w:bookmarkStart w:id="75" w:name="tmp-08-comparação-de-versões"/>
    <w:p>
      <w:pPr>
        <w:pStyle w:val="Heading4"/>
      </w:pPr>
      <w:r>
        <w:rPr>
          <w:rFonts w:ascii="Calibri" w:hAnsi="Calibri"/>
          <w:b/>
          <w:color w:val="4F81BD"/>
        </w:rPr>
        <w:t xml:space="preserve">TMP-08 — Comparação de versões</w:t>
      </w:r>
    </w:p>
    <w:p>
      <w:pPr>
        <w:pStyle w:val="FirstParagraph"/>
      </w:pPr>
      <w:r>
        <w:t xml:space="preserve">Mostra itens adicionados, removidos e alterados. Clientes permanecem na versão aplicada. Atualização em massa é ação explícita com simulação.</w:t>
      </w:r>
    </w:p>
    <w:bookmarkEnd w:id="75"/>
    <w:bookmarkStart w:id="76" w:name="tmp-09-usos"/>
    <w:p>
      <w:pPr>
        <w:pStyle w:val="Heading4"/>
      </w:pPr>
      <w:r>
        <w:rPr>
          <w:rFonts w:ascii="Calibri" w:hAnsi="Calibri"/>
          <w:b/>
          <w:color w:val="4F81BD"/>
        </w:rPr>
        <w:t xml:space="preserve">TMP-09 — Usos</w:t>
      </w:r>
    </w:p>
    <w:p>
      <w:pPr>
        <w:pStyle w:val="FirstParagraph"/>
      </w:pPr>
      <w:r>
        <w:t xml:space="preserve">Lista clientes e instâncias que utilizam cada versão.</w:t>
      </w:r>
    </w:p>
    <w:bookmarkEnd w:id="76"/>
    <w:bookmarkEnd w:id="77"/>
    <w:bookmarkStart w:id="83" w:name="tarefas"/>
    <w:p>
      <w:pPr>
        <w:pStyle w:val="Heading3"/>
      </w:pPr>
      <w:r>
        <w:rPr>
          <w:rFonts w:ascii="Calibri" w:hAnsi="Calibri"/>
          <w:b/>
          <w:color w:val="0B1D2B"/>
        </w:rPr>
        <w:t xml:space="preserve">7.7 Tarefas</w:t>
      </w:r>
    </w:p>
    <w:bookmarkStart w:id="78" w:name="task-01-lista"/>
    <w:p>
      <w:pPr>
        <w:pStyle w:val="Heading4"/>
      </w:pPr>
      <w:r>
        <w:rPr>
          <w:rFonts w:ascii="Calibri" w:hAnsi="Calibri"/>
          <w:b/>
          <w:color w:val="4F81BD"/>
        </w:rPr>
        <w:t xml:space="preserve">TASK-01 — Lista</w:t>
      </w:r>
    </w:p>
    <w:p>
      <w:pPr>
        <w:pStyle w:val="FirstParagraph"/>
      </w:pPr>
      <w:r>
        <w:t xml:space="preserve">Visualizações: tabela, quadro por status e agrupamento por cliente/responsável. Filtros persistentes e favoritos.</w:t>
      </w:r>
    </w:p>
    <w:p>
      <w:pPr>
        <w:pStyle w:val="BodyText"/>
      </w:pPr>
      <w:r>
        <w:t xml:space="preserve">Colunas: título, cliente, etapa, responsável, prioridade, prazo, status, origem, progresso do checklist e indicador de bloqueio.</w:t>
      </w:r>
    </w:p>
    <w:bookmarkEnd w:id="78"/>
    <w:bookmarkStart w:id="79" w:name="task-02-detalhe"/>
    <w:p>
      <w:pPr>
        <w:pStyle w:val="Heading4"/>
      </w:pPr>
      <w:r>
        <w:rPr>
          <w:rFonts w:ascii="Calibri" w:hAnsi="Calibri"/>
          <w:b/>
          <w:color w:val="4F81BD"/>
        </w:rPr>
        <w:t xml:space="preserve">TASK-02 — Detalhe</w:t>
      </w:r>
    </w:p>
    <w:p>
      <w:pPr>
        <w:pStyle w:val="FirstParagraph"/>
      </w:pPr>
      <w:r>
        <w:t xml:space="preserve">Cabeçalho, descrição, cliente, template de origem, prazo, recorrência, responsáveis, seguidores e status.</w:t>
      </w:r>
    </w:p>
    <w:p>
      <w:pPr>
        <w:pStyle w:val="BodyText"/>
      </w:pPr>
      <w:r>
        <w:t xml:space="preserve">Abas/blocos:</w:t>
      </w:r>
    </w:p>
    <w:p>
      <w:pPr>
        <w:numPr>
          <w:ilvl w:val="0"/>
          <w:numId w:val="1016"/>
        </w:numPr>
        <w:pStyle w:val="Compact"/>
      </w:pPr>
      <w:r>
        <w:t xml:space="preserve">checklist;</w:t>
      </w:r>
    </w:p>
    <w:p>
      <w:pPr>
        <w:numPr>
          <w:ilvl w:val="0"/>
          <w:numId w:val="1016"/>
        </w:numPr>
        <w:pStyle w:val="Compact"/>
      </w:pPr>
      <w:r>
        <w:t xml:space="preserve">documentos;</w:t>
      </w:r>
    </w:p>
    <w:p>
      <w:pPr>
        <w:numPr>
          <w:ilvl w:val="0"/>
          <w:numId w:val="1016"/>
        </w:numPr>
        <w:pStyle w:val="Compact"/>
      </w:pPr>
      <w:r>
        <w:t xml:space="preserve">comentários e menções;</w:t>
      </w:r>
    </w:p>
    <w:p>
      <w:pPr>
        <w:numPr>
          <w:ilvl w:val="0"/>
          <w:numId w:val="1016"/>
        </w:numPr>
        <w:pStyle w:val="Compact"/>
      </w:pPr>
      <w:r>
        <w:t xml:space="preserve">dependências;</w:t>
      </w:r>
    </w:p>
    <w:p>
      <w:pPr>
        <w:numPr>
          <w:ilvl w:val="0"/>
          <w:numId w:val="1016"/>
        </w:numPr>
        <w:pStyle w:val="Compact"/>
      </w:pPr>
      <w:r>
        <w:t xml:space="preserve">ocorrências recorrentes;</w:t>
      </w:r>
    </w:p>
    <w:p>
      <w:pPr>
        <w:numPr>
          <w:ilvl w:val="0"/>
          <w:numId w:val="1016"/>
        </w:numPr>
        <w:pStyle w:val="Compact"/>
      </w:pPr>
      <w:r>
        <w:t xml:space="preserve">histórico.</w:t>
      </w:r>
    </w:p>
    <w:p>
      <w:pPr>
        <w:pStyle w:val="FirstParagraph"/>
      </w:pPr>
      <w:r>
        <w:t xml:space="preserve">Ações: iniciar, concluir, reabrir, cancelar, alterar prazo, delegar, solicitar documento, comentar e duplicar.</w:t>
      </w:r>
    </w:p>
    <w:bookmarkEnd w:id="79"/>
    <w:bookmarkStart w:id="80" w:name="task-03-nova-tarefa-avulsa"/>
    <w:p>
      <w:pPr>
        <w:pStyle w:val="Heading4"/>
      </w:pPr>
      <w:r>
        <w:rPr>
          <w:rFonts w:ascii="Calibri" w:hAnsi="Calibri"/>
          <w:b/>
          <w:color w:val="4F81BD"/>
        </w:rPr>
        <w:t xml:space="preserve">TASK-03 — Nova tarefa avulsa</w:t>
      </w:r>
    </w:p>
    <w:p>
      <w:pPr>
        <w:pStyle w:val="FirstParagraph"/>
      </w:pPr>
      <w:r>
        <w:t xml:space="preserve">Campos semelhantes ao editor, vinculada ou não a cliente. Uma tarefa avulsa não altera template.</w:t>
      </w:r>
    </w:p>
    <w:bookmarkEnd w:id="80"/>
    <w:bookmarkStart w:id="81" w:name="task-04-edição-em-massa"/>
    <w:p>
      <w:pPr>
        <w:pStyle w:val="Heading4"/>
      </w:pPr>
      <w:r>
        <w:rPr>
          <w:rFonts w:ascii="Calibri" w:hAnsi="Calibri"/>
          <w:b/>
          <w:color w:val="4F81BD"/>
        </w:rPr>
        <w:t xml:space="preserve">TASK-04 — Edição em massa</w:t>
      </w:r>
    </w:p>
    <w:p>
      <w:pPr>
        <w:pStyle w:val="FirstParagraph"/>
      </w:pPr>
      <w:r>
        <w:t xml:space="preserve">Responsável, departamento, prioridade, status, prazo e tags. Exige confirmação e registra auditoria item a item ou lote rastreável.</w:t>
      </w:r>
    </w:p>
    <w:bookmarkEnd w:id="81"/>
    <w:bookmarkStart w:id="82" w:name="task-05-minha-fila"/>
    <w:p>
      <w:pPr>
        <w:pStyle w:val="Heading4"/>
      </w:pPr>
      <w:r>
        <w:rPr>
          <w:rFonts w:ascii="Calibri" w:hAnsi="Calibri"/>
          <w:b/>
          <w:color w:val="4F81BD"/>
        </w:rPr>
        <w:t xml:space="preserve">TASK-05 — Minha fila</w:t>
      </w:r>
    </w:p>
    <w:p>
      <w:pPr>
        <w:pStyle w:val="FirstParagraph"/>
      </w:pPr>
      <w:r>
        <w:t xml:space="preserve">Fila priorizada por atraso, data e prioridade, com conclusão rápida e filtros.</w:t>
      </w:r>
    </w:p>
    <w:bookmarkEnd w:id="82"/>
    <w:bookmarkEnd w:id="83"/>
    <w:bookmarkStart w:id="89" w:name="documentos"/>
    <w:p>
      <w:pPr>
        <w:pStyle w:val="Heading3"/>
      </w:pPr>
      <w:r>
        <w:rPr>
          <w:rFonts w:ascii="Calibri" w:hAnsi="Calibri"/>
          <w:b/>
          <w:color w:val="0B1D2B"/>
        </w:rPr>
        <w:t xml:space="preserve">7.8 Documentos</w:t>
      </w:r>
    </w:p>
    <w:bookmarkStart w:id="84" w:name="doc-01-central"/>
    <w:p>
      <w:pPr>
        <w:pStyle w:val="Heading4"/>
      </w:pPr>
      <w:r>
        <w:rPr>
          <w:rFonts w:ascii="Calibri" w:hAnsi="Calibri"/>
          <w:b/>
          <w:color w:val="4F81BD"/>
        </w:rPr>
        <w:t xml:space="preserve">DOC-01 — Central</w:t>
      </w:r>
    </w:p>
    <w:p>
      <w:pPr>
        <w:pStyle w:val="FirstParagraph"/>
      </w:pPr>
      <w:r>
        <w:t xml:space="preserve">Busca e filtros por cliente, tipo, status, tarefa, data, responsável e origem. Colunas: documento, cliente, categoria, validade, situação e última versão.</w:t>
      </w:r>
    </w:p>
    <w:bookmarkEnd w:id="84"/>
    <w:bookmarkStart w:id="85" w:name="doc-02-upload"/>
    <w:p>
      <w:pPr>
        <w:pStyle w:val="Heading4"/>
      </w:pPr>
      <w:r>
        <w:rPr>
          <w:rFonts w:ascii="Calibri" w:hAnsi="Calibri"/>
          <w:b/>
          <w:color w:val="4F81BD"/>
        </w:rPr>
        <w:t xml:space="preserve">DOC-02 — Upload</w:t>
      </w:r>
    </w:p>
    <w:p>
      <w:pPr>
        <w:pStyle w:val="FirstParagraph"/>
      </w:pPr>
      <w:r>
        <w:t xml:space="preserve">Arrastar/selecionar; informar cliente, tipo, tarefa, competência, emissão, validade, observações e visibilidade no portal. Validar extensão, tamanho, malware por integração preparada e cota.</w:t>
      </w:r>
    </w:p>
    <w:bookmarkEnd w:id="85"/>
    <w:bookmarkStart w:id="86" w:name="doc-03-detalhe"/>
    <w:p>
      <w:pPr>
        <w:pStyle w:val="Heading4"/>
      </w:pPr>
      <w:r>
        <w:rPr>
          <w:rFonts w:ascii="Calibri" w:hAnsi="Calibri"/>
          <w:b/>
          <w:color w:val="4F81BD"/>
        </w:rPr>
        <w:t xml:space="preserve">DOC-03 — Detalhe</w:t>
      </w:r>
    </w:p>
    <w:p>
      <w:pPr>
        <w:pStyle w:val="FirstParagraph"/>
      </w:pPr>
      <w:r>
        <w:t xml:space="preserve">Metadados, versões, vínculo, downloads, validade, comentários e histórico. O download usa URL temporária assinada.</w:t>
      </w:r>
    </w:p>
    <w:bookmarkEnd w:id="86"/>
    <w:bookmarkStart w:id="87" w:name="doc-04-solicitação"/>
    <w:p>
      <w:pPr>
        <w:pStyle w:val="Heading4"/>
      </w:pPr>
      <w:r>
        <w:rPr>
          <w:rFonts w:ascii="Calibri" w:hAnsi="Calibri"/>
          <w:b/>
          <w:color w:val="4F81BD"/>
        </w:rPr>
        <w:t xml:space="preserve">DOC-04 — Solicitação</w:t>
      </w:r>
    </w:p>
    <w:p>
      <w:pPr>
        <w:pStyle w:val="FirstParagraph"/>
      </w:pPr>
      <w:r>
        <w:t xml:space="preserve">Cria uma pendência para o cliente com título, instruções, prazo, formatos aceitos e lembretes. O envio pelo portal muda o estado para</w:t>
      </w:r>
      <w:r>
        <w:t xml:space="preserve"> </w:t>
      </w:r>
      <w:r>
        <w:t xml:space="preserve">“</w:t>
      </w:r>
      <w:r>
        <w:t xml:space="preserve">recebido</w:t>
      </w:r>
      <w:r>
        <w:t xml:space="preserve">”</w:t>
      </w:r>
      <w:r>
        <w:t xml:space="preserve">; um colaborador aprova ou rejeita.</w:t>
      </w:r>
    </w:p>
    <w:bookmarkEnd w:id="87"/>
    <w:bookmarkStart w:id="88" w:name="doc-05-tipos-de-documento"/>
    <w:p>
      <w:pPr>
        <w:pStyle w:val="Heading4"/>
      </w:pPr>
      <w:r>
        <w:rPr>
          <w:rFonts w:ascii="Calibri" w:hAnsi="Calibri"/>
          <w:b/>
          <w:color w:val="4F81BD"/>
        </w:rPr>
        <w:t xml:space="preserve">DOC-05 — Tipos de documento</w:t>
      </w:r>
    </w:p>
    <w:p>
      <w:pPr>
        <w:pStyle w:val="FirstParagraph"/>
      </w:pPr>
      <w:r>
        <w:t xml:space="preserve">Configuração por organização: nome, categoria, prazo de validade opcional, formatos e tamanho máximo.</w:t>
      </w:r>
    </w:p>
    <w:bookmarkEnd w:id="88"/>
    <w:bookmarkEnd w:id="89"/>
    <w:bookmarkStart w:id="93" w:name="calendário"/>
    <w:p>
      <w:pPr>
        <w:pStyle w:val="Heading3"/>
      </w:pPr>
      <w:r>
        <w:rPr>
          <w:rFonts w:ascii="Calibri" w:hAnsi="Calibri"/>
          <w:b/>
          <w:color w:val="0B1D2B"/>
        </w:rPr>
        <w:t xml:space="preserve">7.9 Calendário</w:t>
      </w:r>
    </w:p>
    <w:bookmarkStart w:id="90" w:name="cal-01-calendário-geral"/>
    <w:p>
      <w:pPr>
        <w:pStyle w:val="Heading4"/>
      </w:pPr>
      <w:r>
        <w:rPr>
          <w:rFonts w:ascii="Calibri" w:hAnsi="Calibri"/>
          <w:b/>
          <w:color w:val="4F81BD"/>
        </w:rPr>
        <w:t xml:space="preserve">CAL-01 — Calendário geral</w:t>
      </w:r>
    </w:p>
    <w:p>
      <w:pPr>
        <w:pStyle w:val="FirstParagraph"/>
      </w:pPr>
      <w:r>
        <w:t xml:space="preserve">Mês, semana, dia e agenda. Exibe tarefas, vencimentos documentais e eventos manuais com cores e filtros.</w:t>
      </w:r>
    </w:p>
    <w:p>
      <w:pPr>
        <w:pStyle w:val="BodyText"/>
      </w:pPr>
      <w:r>
        <w:t xml:space="preserve">Arrastar uma tarefa para outra data exige permissão, confirmação e escolha entre</w:t>
      </w:r>
      <w:r>
        <w:t xml:space="preserve"> </w:t>
      </w:r>
      <w:r>
        <w:t xml:space="preserve">“</w:t>
      </w:r>
      <w:r>
        <w:t xml:space="preserve">somente esta ocorrência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série futura</w:t>
      </w:r>
      <w:r>
        <w:t xml:space="preserve">”</w:t>
      </w:r>
      <w:r>
        <w:t xml:space="preserve"> </w:t>
      </w:r>
      <w:r>
        <w:t xml:space="preserve">quando recorrente.</w:t>
      </w:r>
    </w:p>
    <w:bookmarkEnd w:id="90"/>
    <w:bookmarkStart w:id="91" w:name="cal-02-evento"/>
    <w:p>
      <w:pPr>
        <w:pStyle w:val="Heading4"/>
      </w:pPr>
      <w:r>
        <w:rPr>
          <w:rFonts w:ascii="Calibri" w:hAnsi="Calibri"/>
          <w:b/>
          <w:color w:val="4F81BD"/>
        </w:rPr>
        <w:t xml:space="preserve">CAL-02 — Evento</w:t>
      </w:r>
    </w:p>
    <w:p>
      <w:pPr>
        <w:pStyle w:val="FirstParagraph"/>
      </w:pPr>
      <w:r>
        <w:t xml:space="preserve">Detalhe, vínculo, responsáveis, lembretes e histórico.</w:t>
      </w:r>
    </w:p>
    <w:bookmarkEnd w:id="91"/>
    <w:bookmarkStart w:id="92" w:name="cal-03-calendários-e-feriados"/>
    <w:p>
      <w:pPr>
        <w:pStyle w:val="Heading4"/>
      </w:pPr>
      <w:r>
        <w:rPr>
          <w:rFonts w:ascii="Calibri" w:hAnsi="Calibri"/>
          <w:b/>
          <w:color w:val="4F81BD"/>
        </w:rPr>
        <w:t xml:space="preserve">CAL-03 — Calendários e feriados</w:t>
      </w:r>
    </w:p>
    <w:p>
      <w:pPr>
        <w:pStyle w:val="FirstParagraph"/>
      </w:pPr>
      <w:r>
        <w:t xml:space="preserve">Fuso horário, início da semana, feriados manuais e política de ajuste para dias não úteis.</w:t>
      </w:r>
    </w:p>
    <w:bookmarkEnd w:id="92"/>
    <w:bookmarkEnd w:id="93"/>
    <w:bookmarkStart w:id="99" w:name="relatórios"/>
    <w:p>
      <w:pPr>
        <w:pStyle w:val="Heading3"/>
      </w:pPr>
      <w:r>
        <w:rPr>
          <w:rFonts w:ascii="Calibri" w:hAnsi="Calibri"/>
          <w:b/>
          <w:color w:val="0B1D2B"/>
        </w:rPr>
        <w:t xml:space="preserve">7.10 Relatórios</w:t>
      </w:r>
    </w:p>
    <w:bookmarkStart w:id="94" w:name="rep-01-produtividade"/>
    <w:p>
      <w:pPr>
        <w:pStyle w:val="Heading4"/>
      </w:pPr>
      <w:r>
        <w:rPr>
          <w:rFonts w:ascii="Calibri" w:hAnsi="Calibri"/>
          <w:b/>
          <w:color w:val="4F81BD"/>
        </w:rPr>
        <w:t xml:space="preserve">REP-01 — Produtividade</w:t>
      </w:r>
    </w:p>
    <w:p>
      <w:pPr>
        <w:pStyle w:val="FirstParagraph"/>
      </w:pPr>
      <w:r>
        <w:t xml:space="preserve">Concluídas, no prazo, atrasadas, tempo médio e carga por pessoa/departamento.</w:t>
      </w:r>
    </w:p>
    <w:bookmarkEnd w:id="94"/>
    <w:bookmarkStart w:id="95" w:name="rep-02-carteira"/>
    <w:p>
      <w:pPr>
        <w:pStyle w:val="Heading4"/>
      </w:pPr>
      <w:r>
        <w:rPr>
          <w:rFonts w:ascii="Calibri" w:hAnsi="Calibri"/>
          <w:b/>
          <w:color w:val="4F81BD"/>
        </w:rPr>
        <w:t xml:space="preserve">REP-02 — Carteira</w:t>
      </w:r>
    </w:p>
    <w:p>
      <w:pPr>
        <w:pStyle w:val="FirstParagraph"/>
      </w:pPr>
      <w:r>
        <w:t xml:space="preserve">Clientes sem template, com atrasos, com documentos pendentes, inativos e por responsável.</w:t>
      </w:r>
    </w:p>
    <w:bookmarkEnd w:id="95"/>
    <w:bookmarkStart w:id="96" w:name="rep-03-prazos"/>
    <w:p>
      <w:pPr>
        <w:pStyle w:val="Heading4"/>
      </w:pPr>
      <w:r>
        <w:rPr>
          <w:rFonts w:ascii="Calibri" w:hAnsi="Calibri"/>
          <w:b/>
          <w:color w:val="4F81BD"/>
        </w:rPr>
        <w:t xml:space="preserve">REP-03 — Prazos</w:t>
      </w:r>
    </w:p>
    <w:p>
      <w:pPr>
        <w:pStyle w:val="FirstParagraph"/>
      </w:pPr>
      <w:r>
        <w:t xml:space="preserve">Vencimentos por período, recorrências futuras e atraso acumulado.</w:t>
      </w:r>
    </w:p>
    <w:bookmarkEnd w:id="96"/>
    <w:bookmarkStart w:id="97" w:name="rep-04-documentos"/>
    <w:p>
      <w:pPr>
        <w:pStyle w:val="Heading4"/>
      </w:pPr>
      <w:r>
        <w:rPr>
          <w:rFonts w:ascii="Calibri" w:hAnsi="Calibri"/>
          <w:b/>
          <w:color w:val="4F81BD"/>
        </w:rPr>
        <w:t xml:space="preserve">REP-04 — Documentos</w:t>
      </w:r>
    </w:p>
    <w:p>
      <w:pPr>
        <w:pStyle w:val="FirstParagraph"/>
      </w:pPr>
      <w:r>
        <w:t xml:space="preserve">Solicitados, recebidos, rejeitados, pendentes e com validade próxima.</w:t>
      </w:r>
    </w:p>
    <w:bookmarkEnd w:id="97"/>
    <w:bookmarkStart w:id="98" w:name="rep-05-exportações"/>
    <w:p>
      <w:pPr>
        <w:pStyle w:val="Heading4"/>
      </w:pPr>
      <w:r>
        <w:rPr>
          <w:rFonts w:ascii="Calibri" w:hAnsi="Calibri"/>
          <w:b/>
          <w:color w:val="4F81BD"/>
        </w:rPr>
        <w:t xml:space="preserve">REP-05 — Exportações</w:t>
      </w:r>
    </w:p>
    <w:p>
      <w:pPr>
        <w:pStyle w:val="FirstParagraph"/>
      </w:pPr>
      <w:r>
        <w:t xml:space="preserve">CSV/XLSX assíncrono, com filtros atuais, aviso por e-mail e link temporário. PDF fica fora do MVP salvo relatório simples já suportado.</w:t>
      </w:r>
    </w:p>
    <w:bookmarkEnd w:id="98"/>
    <w:bookmarkEnd w:id="99"/>
    <w:bookmarkStart w:id="104" w:name="equipe"/>
    <w:p>
      <w:pPr>
        <w:pStyle w:val="Heading3"/>
      </w:pPr>
      <w:r>
        <w:rPr>
          <w:rFonts w:ascii="Calibri" w:hAnsi="Calibri"/>
          <w:b/>
          <w:color w:val="0B1D2B"/>
        </w:rPr>
        <w:t xml:space="preserve">7.11 Equipe</w:t>
      </w:r>
    </w:p>
    <w:bookmarkStart w:id="100" w:name="team-01-usuários"/>
    <w:p>
      <w:pPr>
        <w:pStyle w:val="Heading4"/>
      </w:pPr>
      <w:r>
        <w:rPr>
          <w:rFonts w:ascii="Calibri" w:hAnsi="Calibri"/>
          <w:b/>
          <w:color w:val="4F81BD"/>
        </w:rPr>
        <w:t xml:space="preserve">TEAM-01 — Usuários</w:t>
      </w:r>
    </w:p>
    <w:p>
      <w:pPr>
        <w:pStyle w:val="FirstParagraph"/>
      </w:pPr>
      <w:r>
        <w:t xml:space="preserve">Nome, e-mail, papel, departamentos, unidade, status e último acesso. Ações: convidar, editar, suspender, reenviar convite e remover.</w:t>
      </w:r>
    </w:p>
    <w:bookmarkEnd w:id="100"/>
    <w:bookmarkStart w:id="101" w:name="team-02-convite"/>
    <w:p>
      <w:pPr>
        <w:pStyle w:val="Heading4"/>
      </w:pPr>
      <w:r>
        <w:rPr>
          <w:rFonts w:ascii="Calibri" w:hAnsi="Calibri"/>
          <w:b/>
          <w:color w:val="4F81BD"/>
        </w:rPr>
        <w:t xml:space="preserve">TEAM-02 — Convite</w:t>
      </w:r>
    </w:p>
    <w:p>
      <w:pPr>
        <w:pStyle w:val="FirstParagraph"/>
      </w:pPr>
      <w:r>
        <w:t xml:space="preserve">E-mail, papel, unidade, departamentos e escopo opcional de clientes. Convite expira em sete dias.</w:t>
      </w:r>
    </w:p>
    <w:bookmarkEnd w:id="101"/>
    <w:bookmarkStart w:id="102" w:name="team-03-papéis-e-permissões"/>
    <w:p>
      <w:pPr>
        <w:pStyle w:val="Heading4"/>
      </w:pPr>
      <w:r>
        <w:rPr>
          <w:rFonts w:ascii="Calibri" w:hAnsi="Calibri"/>
          <w:b/>
          <w:color w:val="4F81BD"/>
        </w:rPr>
        <w:t xml:space="preserve">TEAM-03 — Papéis e permissões</w:t>
      </w:r>
    </w:p>
    <w:p>
      <w:pPr>
        <w:pStyle w:val="FirstParagraph"/>
      </w:pPr>
      <w:r>
        <w:t xml:space="preserve">Papéis padrão protegidos e papéis personalizados. Alterações críticas pedem confirmação.</w:t>
      </w:r>
    </w:p>
    <w:bookmarkEnd w:id="102"/>
    <w:bookmarkStart w:id="103" w:name="team-04-departamentos-e-equipes"/>
    <w:p>
      <w:pPr>
        <w:pStyle w:val="Heading4"/>
      </w:pPr>
      <w:r>
        <w:rPr>
          <w:rFonts w:ascii="Calibri" w:hAnsi="Calibri"/>
          <w:b/>
          <w:color w:val="4F81BD"/>
        </w:rPr>
        <w:t xml:space="preserve">TEAM-04 — Departamentos e equipes</w:t>
      </w:r>
    </w:p>
    <w:p>
      <w:pPr>
        <w:pStyle w:val="FirstParagraph"/>
      </w:pPr>
      <w:r>
        <w:t xml:space="preserve">CRUD, gestor, membros, cor e status. Exclusão somente quando sem vínculos; caso contrário, arquivar.</w:t>
      </w:r>
    </w:p>
    <w:bookmarkEnd w:id="103"/>
    <w:bookmarkEnd w:id="104"/>
    <w:bookmarkStart w:id="107" w:name="notificações"/>
    <w:p>
      <w:pPr>
        <w:pStyle w:val="Heading3"/>
      </w:pPr>
      <w:r>
        <w:rPr>
          <w:rFonts w:ascii="Calibri" w:hAnsi="Calibri"/>
          <w:b/>
          <w:color w:val="0B1D2B"/>
        </w:rPr>
        <w:t xml:space="preserve">7.12 Notificações</w:t>
      </w:r>
    </w:p>
    <w:bookmarkStart w:id="105" w:name="not-01-central"/>
    <w:p>
      <w:pPr>
        <w:pStyle w:val="Heading4"/>
      </w:pPr>
      <w:r>
        <w:rPr>
          <w:rFonts w:ascii="Calibri" w:hAnsi="Calibri"/>
          <w:b/>
          <w:color w:val="4F81BD"/>
        </w:rPr>
        <w:t xml:space="preserve">NOT-01 — Central</w:t>
      </w:r>
    </w:p>
    <w:p>
      <w:pPr>
        <w:pStyle w:val="FirstParagraph"/>
      </w:pPr>
      <w:r>
        <w:t xml:space="preserve">Lidas/não lidas, tipo, prioridade, link de contexto, marcar tudo e filtros.</w:t>
      </w:r>
    </w:p>
    <w:bookmarkEnd w:id="105"/>
    <w:bookmarkStart w:id="106" w:name="not-02-preferências"/>
    <w:p>
      <w:pPr>
        <w:pStyle w:val="Heading4"/>
      </w:pPr>
      <w:r>
        <w:rPr>
          <w:rFonts w:ascii="Calibri" w:hAnsi="Calibri"/>
          <w:b/>
          <w:color w:val="4F81BD"/>
        </w:rPr>
        <w:t xml:space="preserve">NOT-02 — Preferências</w:t>
      </w:r>
    </w:p>
    <w:p>
      <w:pPr>
        <w:pStyle w:val="FirstParagraph"/>
      </w:pPr>
      <w:r>
        <w:t xml:space="preserve">Por evento e canal: interna e e-mail. Configura resumo diário, silêncio, horário e fuso. Alertas críticos administrativos e de cobrança podem ser obrigatórios.</w:t>
      </w:r>
    </w:p>
    <w:bookmarkEnd w:id="106"/>
    <w:bookmarkEnd w:id="107"/>
    <w:bookmarkStart w:id="113" w:name="assinatura"/>
    <w:p>
      <w:pPr>
        <w:pStyle w:val="Heading3"/>
      </w:pPr>
      <w:r>
        <w:rPr>
          <w:rFonts w:ascii="Calibri" w:hAnsi="Calibri"/>
          <w:b/>
          <w:color w:val="0B1D2B"/>
        </w:rPr>
        <w:t xml:space="preserve">7.13 Assinatura</w:t>
      </w:r>
    </w:p>
    <w:bookmarkStart w:id="108" w:name="bill-01-plano-atual"/>
    <w:p>
      <w:pPr>
        <w:pStyle w:val="Heading4"/>
      </w:pPr>
      <w:r>
        <w:rPr>
          <w:rFonts w:ascii="Calibri" w:hAnsi="Calibri"/>
          <w:b/>
          <w:color w:val="4F81BD"/>
        </w:rPr>
        <w:t xml:space="preserve">BILL-01 — Plano atual</w:t>
      </w:r>
    </w:p>
    <w:p>
      <w:pPr>
        <w:pStyle w:val="FirstParagraph"/>
      </w:pPr>
      <w:r>
        <w:t xml:space="preserve">Plano, ciclo, valor, próxima cobrança, estado da assinatura e consumo de empresas, usuários e armazenamento.</w:t>
      </w:r>
    </w:p>
    <w:bookmarkEnd w:id="108"/>
    <w:bookmarkStart w:id="109" w:name="bill-02-alterar-plano"/>
    <w:p>
      <w:pPr>
        <w:pStyle w:val="Heading4"/>
      </w:pPr>
      <w:r>
        <w:rPr>
          <w:rFonts w:ascii="Calibri" w:hAnsi="Calibri"/>
          <w:b/>
          <w:color w:val="4F81BD"/>
        </w:rPr>
        <w:t xml:space="preserve">BILL-02 — Alterar plano</w:t>
      </w:r>
    </w:p>
    <w:p>
      <w:pPr>
        <w:pStyle w:val="FirstParagraph"/>
      </w:pPr>
      <w:r>
        <w:t xml:space="preserve">Comparação, cálculo proporcional fornecido pelo Stripe, confirmação e efeito dos novos limites.</w:t>
      </w:r>
    </w:p>
    <w:bookmarkEnd w:id="109"/>
    <w:bookmarkStart w:id="110" w:name="bill-03-faturas"/>
    <w:p>
      <w:pPr>
        <w:pStyle w:val="Heading4"/>
      </w:pPr>
      <w:r>
        <w:rPr>
          <w:rFonts w:ascii="Calibri" w:hAnsi="Calibri"/>
          <w:b/>
          <w:color w:val="4F81BD"/>
        </w:rPr>
        <w:t xml:space="preserve">BILL-03 — Faturas</w:t>
      </w:r>
    </w:p>
    <w:p>
      <w:pPr>
        <w:pStyle w:val="FirstParagraph"/>
      </w:pPr>
      <w:r>
        <w:t xml:space="preserve">Data, valor, estado, recibo e download.</w:t>
      </w:r>
    </w:p>
    <w:bookmarkEnd w:id="110"/>
    <w:bookmarkStart w:id="111" w:name="bill-04-método-de-pagamento"/>
    <w:p>
      <w:pPr>
        <w:pStyle w:val="Heading4"/>
      </w:pPr>
      <w:r>
        <w:rPr>
          <w:rFonts w:ascii="Calibri" w:hAnsi="Calibri"/>
          <w:b/>
          <w:color w:val="4F81BD"/>
        </w:rPr>
        <w:t xml:space="preserve">BILL-04 — Método de pagamento</w:t>
      </w:r>
    </w:p>
    <w:p>
      <w:pPr>
        <w:pStyle w:val="FirstParagraph"/>
      </w:pPr>
      <w:r>
        <w:t xml:space="preserve">Redireciona ao portal seguro do Stripe.</w:t>
      </w:r>
    </w:p>
    <w:bookmarkEnd w:id="111"/>
    <w:bookmarkStart w:id="112" w:name="bill-05-cancelamento"/>
    <w:p>
      <w:pPr>
        <w:pStyle w:val="Heading4"/>
      </w:pPr>
      <w:r>
        <w:rPr>
          <w:rFonts w:ascii="Calibri" w:hAnsi="Calibri"/>
          <w:b/>
          <w:color w:val="4F81BD"/>
        </w:rPr>
        <w:t xml:space="preserve">BILL-05 — Cancelamento</w:t>
      </w:r>
    </w:p>
    <w:p>
      <w:pPr>
        <w:pStyle w:val="FirstParagraph"/>
      </w:pPr>
      <w:r>
        <w:t xml:space="preserve">Motivo, consequências, data efetiva e opção de reter até fim do ciclo. Cancelamento não apaga dados imediatamente.</w:t>
      </w:r>
    </w:p>
    <w:bookmarkEnd w:id="112"/>
    <w:bookmarkEnd w:id="113"/>
    <w:bookmarkStart w:id="120" w:name="configurações"/>
    <w:p>
      <w:pPr>
        <w:pStyle w:val="Heading3"/>
      </w:pPr>
      <w:r>
        <w:rPr>
          <w:rFonts w:ascii="Calibri" w:hAnsi="Calibri"/>
          <w:b/>
          <w:color w:val="0B1D2B"/>
        </w:rPr>
        <w:t xml:space="preserve">7.14 Configurações</w:t>
      </w:r>
    </w:p>
    <w:bookmarkStart w:id="114" w:name="set-01-organização"/>
    <w:p>
      <w:pPr>
        <w:pStyle w:val="Heading4"/>
      </w:pPr>
      <w:r>
        <w:rPr>
          <w:rFonts w:ascii="Calibri" w:hAnsi="Calibri"/>
          <w:b/>
          <w:color w:val="4F81BD"/>
        </w:rPr>
        <w:t xml:space="preserve">SET-01 — Organização</w:t>
      </w:r>
    </w:p>
    <w:p>
      <w:pPr>
        <w:pStyle w:val="FirstParagraph"/>
      </w:pPr>
      <w:r>
        <w:t xml:space="preserve">Identidade, endereço, fuso, logo, preferências e responsável.</w:t>
      </w:r>
    </w:p>
    <w:bookmarkEnd w:id="114"/>
    <w:bookmarkStart w:id="115" w:name="set-02-campos-e-classificações"/>
    <w:p>
      <w:pPr>
        <w:pStyle w:val="Heading4"/>
      </w:pPr>
      <w:r>
        <w:rPr>
          <w:rFonts w:ascii="Calibri" w:hAnsi="Calibri"/>
          <w:b/>
          <w:color w:val="4F81BD"/>
        </w:rPr>
        <w:t xml:space="preserve">SET-02 — Campos e classificações</w:t>
      </w:r>
    </w:p>
    <w:p>
      <w:pPr>
        <w:pStyle w:val="FirstParagraph"/>
      </w:pPr>
      <w:r>
        <w:t xml:space="preserve">Tags, categorias, tipos documentais, prioridades e segmentos.</w:t>
      </w:r>
    </w:p>
    <w:bookmarkEnd w:id="115"/>
    <w:bookmarkStart w:id="116" w:name="set-03-alertas"/>
    <w:p>
      <w:pPr>
        <w:pStyle w:val="Heading4"/>
      </w:pPr>
      <w:r>
        <w:rPr>
          <w:rFonts w:ascii="Calibri" w:hAnsi="Calibri"/>
          <w:b/>
          <w:color w:val="4F81BD"/>
        </w:rPr>
        <w:t xml:space="preserve">SET-03 — Alertas</w:t>
      </w:r>
    </w:p>
    <w:p>
      <w:pPr>
        <w:pStyle w:val="FirstParagraph"/>
      </w:pPr>
      <w:r>
        <w:t xml:space="preserve">Antecedências padrão: 30, 15, 7, 3, 1 e 0 dias; escalonamento de atrasos e destinatários.</w:t>
      </w:r>
    </w:p>
    <w:bookmarkEnd w:id="116"/>
    <w:bookmarkStart w:id="117" w:name="set-04-segurança"/>
    <w:p>
      <w:pPr>
        <w:pStyle w:val="Heading4"/>
      </w:pPr>
      <w:r>
        <w:rPr>
          <w:rFonts w:ascii="Calibri" w:hAnsi="Calibri"/>
          <w:b/>
          <w:color w:val="4F81BD"/>
        </w:rPr>
        <w:t xml:space="preserve">SET-04 — Segurança</w:t>
      </w:r>
    </w:p>
    <w:p>
      <w:pPr>
        <w:pStyle w:val="FirstParagraph"/>
      </w:pPr>
      <w:r>
        <w:t xml:space="preserve">Sessões, política de senha, 2FA se suportado pelo Core, histórico de acesso e revogação.</w:t>
      </w:r>
    </w:p>
    <w:bookmarkEnd w:id="117"/>
    <w:bookmarkStart w:id="118" w:name="set-05-auditoria"/>
    <w:p>
      <w:pPr>
        <w:pStyle w:val="Heading4"/>
      </w:pPr>
      <w:r>
        <w:rPr>
          <w:rFonts w:ascii="Calibri" w:hAnsi="Calibri"/>
          <w:b/>
          <w:color w:val="4F81BD"/>
        </w:rPr>
        <w:t xml:space="preserve">SET-05 — Auditoria</w:t>
      </w:r>
    </w:p>
    <w:p>
      <w:pPr>
        <w:pStyle w:val="FirstParagraph"/>
      </w:pPr>
      <w:r>
        <w:t xml:space="preserve">Busca por ator, ação, entidade, data e IP; exportação restrita.</w:t>
      </w:r>
    </w:p>
    <w:bookmarkEnd w:id="118"/>
    <w:bookmarkStart w:id="119" w:name="set-06-dados-e-privacidade"/>
    <w:p>
      <w:pPr>
        <w:pStyle w:val="Heading4"/>
      </w:pPr>
      <w:r>
        <w:rPr>
          <w:rFonts w:ascii="Calibri" w:hAnsi="Calibri"/>
          <w:b/>
          <w:color w:val="4F81BD"/>
        </w:rPr>
        <w:t xml:space="preserve">SET-06 — Dados e privacidade</w:t>
      </w:r>
    </w:p>
    <w:p>
      <w:pPr>
        <w:pStyle w:val="FirstParagraph"/>
      </w:pPr>
      <w:r>
        <w:t xml:space="preserve">Exportar dados, política de retenção, solicitações LGPD e encerramento da organização.</w:t>
      </w:r>
    </w:p>
    <w:bookmarkEnd w:id="119"/>
    <w:bookmarkEnd w:id="120"/>
    <w:bookmarkStart w:id="127" w:name="portal-do-cliente-1"/>
    <w:p>
      <w:pPr>
        <w:pStyle w:val="Heading3"/>
      </w:pPr>
      <w:r>
        <w:rPr>
          <w:rFonts w:ascii="Calibri" w:hAnsi="Calibri"/>
          <w:b/>
          <w:color w:val="0B1D2B"/>
        </w:rPr>
        <w:t xml:space="preserve">7.15 Portal do cliente</w:t>
      </w:r>
    </w:p>
    <w:bookmarkStart w:id="121" w:name="port-01-entrada-e-seleção-de-empresa"/>
    <w:p>
      <w:pPr>
        <w:pStyle w:val="Heading4"/>
      </w:pPr>
      <w:r>
        <w:rPr>
          <w:rFonts w:ascii="Calibri" w:hAnsi="Calibri"/>
          <w:b/>
          <w:color w:val="4F81BD"/>
        </w:rPr>
        <w:t xml:space="preserve">PORT-01 — Entrada e seleção de empresa</w:t>
      </w:r>
    </w:p>
    <w:p>
      <w:pPr>
        <w:pStyle w:val="FirstParagraph"/>
      </w:pPr>
      <w:r>
        <w:t xml:space="preserve">Login e empresas às quais o contato foi vinculado.</w:t>
      </w:r>
    </w:p>
    <w:bookmarkEnd w:id="121"/>
    <w:bookmarkStart w:id="122" w:name="port-02-início"/>
    <w:p>
      <w:pPr>
        <w:pStyle w:val="Heading4"/>
      </w:pPr>
      <w:r>
        <w:rPr>
          <w:rFonts w:ascii="Calibri" w:hAnsi="Calibri"/>
          <w:b/>
          <w:color w:val="4F81BD"/>
        </w:rPr>
        <w:t xml:space="preserve">PORT-02 — Início</w:t>
      </w:r>
    </w:p>
    <w:p>
      <w:pPr>
        <w:pStyle w:val="FirstParagraph"/>
      </w:pPr>
      <w:r>
        <w:t xml:space="preserve">Pendências urgentes, documentos solicitados, próximos prazos e comunicados.</w:t>
      </w:r>
    </w:p>
    <w:bookmarkEnd w:id="122"/>
    <w:bookmarkStart w:id="123" w:name="port-03-pendências"/>
    <w:p>
      <w:pPr>
        <w:pStyle w:val="Heading4"/>
      </w:pPr>
      <w:r>
        <w:rPr>
          <w:rFonts w:ascii="Calibri" w:hAnsi="Calibri"/>
          <w:b/>
          <w:color w:val="4F81BD"/>
        </w:rPr>
        <w:t xml:space="preserve">PORT-03 — Pendências</w:t>
      </w:r>
    </w:p>
    <w:p>
      <w:pPr>
        <w:pStyle w:val="FirstParagraph"/>
      </w:pPr>
      <w:r>
        <w:t xml:space="preserve">Somente tarefas marcadas como visíveis. Cliente pode enviar documento, comentar e marcar sua ação como realizada; conclusão final permanece com o escritório quando configurado.</w:t>
      </w:r>
    </w:p>
    <w:bookmarkEnd w:id="123"/>
    <w:bookmarkStart w:id="124" w:name="port-04-documentos"/>
    <w:p>
      <w:pPr>
        <w:pStyle w:val="Heading4"/>
      </w:pPr>
      <w:r>
        <w:rPr>
          <w:rFonts w:ascii="Calibri" w:hAnsi="Calibri"/>
          <w:b/>
          <w:color w:val="4F81BD"/>
        </w:rPr>
        <w:t xml:space="preserve">PORT-04 — Documentos</w:t>
      </w:r>
    </w:p>
    <w:p>
      <w:pPr>
        <w:pStyle w:val="FirstParagraph"/>
      </w:pPr>
      <w:r>
        <w:t xml:space="preserve">Enviar, consultar documentos liberados e acompanhar aprovação/rejeição.</w:t>
      </w:r>
    </w:p>
    <w:bookmarkEnd w:id="124"/>
    <w:bookmarkStart w:id="125" w:name="port-05-cronograma"/>
    <w:p>
      <w:pPr>
        <w:pStyle w:val="Heading4"/>
      </w:pPr>
      <w:r>
        <w:rPr>
          <w:rFonts w:ascii="Calibri" w:hAnsi="Calibri"/>
          <w:b/>
          <w:color w:val="4F81BD"/>
        </w:rPr>
        <w:t xml:space="preserve">PORT-05 — Cronograma</w:t>
      </w:r>
    </w:p>
    <w:p>
      <w:pPr>
        <w:pStyle w:val="FirstParagraph"/>
      </w:pPr>
      <w:r>
        <w:t xml:space="preserve">Eventos visíveis, sem informações internas.</w:t>
      </w:r>
    </w:p>
    <w:bookmarkEnd w:id="125"/>
    <w:bookmarkStart w:id="126" w:name="port-06-perfil"/>
    <w:p>
      <w:pPr>
        <w:pStyle w:val="Heading4"/>
      </w:pPr>
      <w:r>
        <w:rPr>
          <w:rFonts w:ascii="Calibri" w:hAnsi="Calibri"/>
          <w:b/>
          <w:color w:val="4F81BD"/>
        </w:rPr>
        <w:t xml:space="preserve">PORT-06 — Perfil</w:t>
      </w:r>
    </w:p>
    <w:p>
      <w:pPr>
        <w:pStyle w:val="FirstParagraph"/>
      </w:pPr>
      <w:r>
        <w:t xml:space="preserve">Contato, senha, notificações e aceite.</w:t>
      </w:r>
    </w:p>
    <w:bookmarkEnd w:id="126"/>
    <w:bookmarkEnd w:id="127"/>
    <w:bookmarkStart w:id="134" w:name="administração-global"/>
    <w:p>
      <w:pPr>
        <w:pStyle w:val="Heading3"/>
      </w:pPr>
      <w:r>
        <w:rPr>
          <w:rFonts w:ascii="Calibri" w:hAnsi="Calibri"/>
          <w:b/>
          <w:color w:val="0B1D2B"/>
        </w:rPr>
        <w:t xml:space="preserve">7.16 Administração global</w:t>
      </w:r>
    </w:p>
    <w:bookmarkStart w:id="128" w:name="adm-01-visão-da-plataforma"/>
    <w:p>
      <w:pPr>
        <w:pStyle w:val="Heading4"/>
      </w:pPr>
      <w:r>
        <w:rPr>
          <w:rFonts w:ascii="Calibri" w:hAnsi="Calibri"/>
          <w:b/>
          <w:color w:val="4F81BD"/>
        </w:rPr>
        <w:t xml:space="preserve">ADM-01 — Visão da plataforma</w:t>
      </w:r>
    </w:p>
    <w:p>
      <w:pPr>
        <w:pStyle w:val="FirstParagraph"/>
      </w:pPr>
      <w:r>
        <w:t xml:space="preserve">MRR, organizações ativas, trials, cancelamentos, inadimplência, uso e jobs com erro.</w:t>
      </w:r>
    </w:p>
    <w:bookmarkEnd w:id="128"/>
    <w:bookmarkStart w:id="129" w:name="adm-02-organizações"/>
    <w:p>
      <w:pPr>
        <w:pStyle w:val="Heading4"/>
      </w:pPr>
      <w:r>
        <w:rPr>
          <w:rFonts w:ascii="Calibri" w:hAnsi="Calibri"/>
          <w:b/>
          <w:color w:val="4F81BD"/>
        </w:rPr>
        <w:t xml:space="preserve">ADM-02 — Organizações</w:t>
      </w:r>
    </w:p>
    <w:p>
      <w:pPr>
        <w:pStyle w:val="FirstParagraph"/>
      </w:pPr>
      <w:r>
        <w:t xml:space="preserve">Plano, status, consumo, proprietário e suporte. Acesso assistido deve ser temporário, consentido, auditado e visualmente identificado.</w:t>
      </w:r>
    </w:p>
    <w:bookmarkEnd w:id="129"/>
    <w:bookmarkStart w:id="130" w:name="adm-03-planos"/>
    <w:p>
      <w:pPr>
        <w:pStyle w:val="Heading4"/>
      </w:pPr>
      <w:r>
        <w:rPr>
          <w:rFonts w:ascii="Calibri" w:hAnsi="Calibri"/>
          <w:b/>
          <w:color w:val="4F81BD"/>
        </w:rPr>
        <w:t xml:space="preserve">ADM-03 — Planos</w:t>
      </w:r>
    </w:p>
    <w:p>
      <w:pPr>
        <w:pStyle w:val="FirstParagraph"/>
      </w:pPr>
      <w:r>
        <w:t xml:space="preserve">Nome, preço mensal/anual, Stripe Price IDs, limites, recursos, ordem, destaque e disponibilidade.</w:t>
      </w:r>
    </w:p>
    <w:bookmarkEnd w:id="130"/>
    <w:bookmarkStart w:id="131" w:name="adm-04-cupons-e-trials"/>
    <w:p>
      <w:pPr>
        <w:pStyle w:val="Heading4"/>
      </w:pPr>
      <w:r>
        <w:rPr>
          <w:rFonts w:ascii="Calibri" w:hAnsi="Calibri"/>
          <w:b/>
          <w:color w:val="4F81BD"/>
        </w:rPr>
        <w:t xml:space="preserve">ADM-04 — Cupons e trials</w:t>
      </w:r>
    </w:p>
    <w:p>
      <w:pPr>
        <w:pStyle w:val="FirstParagraph"/>
      </w:pPr>
      <w:r>
        <w:t xml:space="preserve">Preferencialmente geridos no Stripe e refletidos no sistema.</w:t>
      </w:r>
    </w:p>
    <w:bookmarkEnd w:id="131"/>
    <w:bookmarkStart w:id="132" w:name="adm-05-templates-iniciais"/>
    <w:p>
      <w:pPr>
        <w:pStyle w:val="Heading4"/>
      </w:pPr>
      <w:r>
        <w:rPr>
          <w:rFonts w:ascii="Calibri" w:hAnsi="Calibri"/>
          <w:b/>
          <w:color w:val="4F81BD"/>
        </w:rPr>
        <w:t xml:space="preserve">ADM-05 — Templates iniciais</w:t>
      </w:r>
    </w:p>
    <w:p>
      <w:pPr>
        <w:pStyle w:val="FirstParagraph"/>
      </w:pPr>
      <w:r>
        <w:t xml:space="preserve">Modelos que uma organização pode copiar. Nunca são aplicados automaticamente.</w:t>
      </w:r>
    </w:p>
    <w:bookmarkEnd w:id="132"/>
    <w:bookmarkStart w:id="133" w:name="adm-06-saúde-operacional"/>
    <w:p>
      <w:pPr>
        <w:pStyle w:val="Heading4"/>
      </w:pPr>
      <w:r>
        <w:rPr>
          <w:rFonts w:ascii="Calibri" w:hAnsi="Calibri"/>
          <w:b/>
          <w:color w:val="4F81BD"/>
        </w:rPr>
        <w:t xml:space="preserve">ADM-06 — Saúde operacional</w:t>
      </w:r>
    </w:p>
    <w:p>
      <w:pPr>
        <w:pStyle w:val="FirstParagraph"/>
      </w:pPr>
      <w:r>
        <w:t xml:space="preserve">Filas, webhooks, e-mails, armazenamento, integrações e reprocessamento seguro.</w:t>
      </w:r>
    </w:p>
    <w:bookmarkEnd w:id="133"/>
    <w:bookmarkEnd w:id="134"/>
    <w:bookmarkEnd w:id="135"/>
    <w:bookmarkStart w:id="143" w:name="processos-ponta-a-ponta"/>
    <w:p>
      <w:pPr>
        <w:pStyle w:val="Heading2"/>
      </w:pPr>
      <w:r>
        <w:rPr>
          <w:rFonts w:ascii="Calibri" w:hAnsi="Calibri"/>
          <w:b/>
          <w:color w:val="175D7B"/>
        </w:rPr>
        <w:t xml:space="preserve">8. Processos ponta a ponta</w:t>
      </w:r>
    </w:p>
    <w:bookmarkStart w:id="136" w:name="contratação"/>
    <w:p>
      <w:pPr>
        <w:pStyle w:val="Heading3"/>
      </w:pPr>
      <w:r>
        <w:rPr>
          <w:rFonts w:ascii="Calibri" w:hAnsi="Calibri"/>
          <w:b/>
          <w:color w:val="0B1D2B"/>
        </w:rPr>
        <w:t xml:space="preserve">8.1 Contratação</w:t>
      </w:r>
    </w:p>
    <w:p>
      <w:pPr>
        <w:numPr>
          <w:ilvl w:val="0"/>
          <w:numId w:val="1017"/>
        </w:numPr>
        <w:pStyle w:val="Compact"/>
      </w:pPr>
      <w:r>
        <w:t xml:space="preserve">visitante escolhe plano;</w:t>
      </w:r>
    </w:p>
    <w:p>
      <w:pPr>
        <w:numPr>
          <w:ilvl w:val="0"/>
          <w:numId w:val="1017"/>
        </w:numPr>
        <w:pStyle w:val="Compact"/>
      </w:pPr>
      <w:r>
        <w:t xml:space="preserve">cria conta ou autentica;</w:t>
      </w:r>
    </w:p>
    <w:p>
      <w:pPr>
        <w:numPr>
          <w:ilvl w:val="0"/>
          <w:numId w:val="1017"/>
        </w:numPr>
        <w:pStyle w:val="Compact"/>
      </w:pPr>
      <w:r>
        <w:t xml:space="preserve">checkout é criado pelo BillingSDK;</w:t>
      </w:r>
    </w:p>
    <w:p>
      <w:pPr>
        <w:numPr>
          <w:ilvl w:val="0"/>
          <w:numId w:val="1017"/>
        </w:numPr>
        <w:pStyle w:val="Compact"/>
      </w:pPr>
      <w:r>
        <w:t xml:space="preserve">Stripe processa o pagamento;</w:t>
      </w:r>
    </w:p>
    <w:p>
      <w:pPr>
        <w:numPr>
          <w:ilvl w:val="0"/>
          <w:numId w:val="1017"/>
        </w:numPr>
        <w:pStyle w:val="Compact"/>
      </w:pPr>
      <w:r>
        <w:t xml:space="preserve">webhook idempotente ativa assinatura;</w:t>
      </w:r>
    </w:p>
    <w:p>
      <w:pPr>
        <w:numPr>
          <w:ilvl w:val="0"/>
          <w:numId w:val="1017"/>
        </w:numPr>
        <w:pStyle w:val="Compact"/>
      </w:pPr>
      <w:r>
        <w:t xml:space="preserve">organização é criada ou liberada;</w:t>
      </w:r>
    </w:p>
    <w:p>
      <w:pPr>
        <w:numPr>
          <w:ilvl w:val="0"/>
          <w:numId w:val="1017"/>
        </w:numPr>
        <w:pStyle w:val="Compact"/>
      </w:pPr>
      <w:r>
        <w:t xml:space="preserve">proprietário inicia onboarding;</w:t>
      </w:r>
    </w:p>
    <w:p>
      <w:pPr>
        <w:numPr>
          <w:ilvl w:val="0"/>
          <w:numId w:val="1017"/>
        </w:numPr>
        <w:pStyle w:val="Compact"/>
      </w:pPr>
      <w:r>
        <w:t xml:space="preserve">e-mail de confirmação é enviado.</w:t>
      </w:r>
    </w:p>
    <w:p>
      <w:pPr>
        <w:pStyle w:val="FirstParagraph"/>
      </w:pPr>
      <w:r>
        <w:t xml:space="preserve">Não liberar plano pago apenas pelo retorno do navegador; a fonte de verdade é o webhook validado.</w:t>
      </w:r>
    </w:p>
    <w:bookmarkEnd w:id="136"/>
    <w:bookmarkStart w:id="137" w:name="entrada-de-novo-cliente"/>
    <w:p>
      <w:pPr>
        <w:pStyle w:val="Heading3"/>
      </w:pPr>
      <w:r>
        <w:rPr>
          <w:rFonts w:ascii="Calibri" w:hAnsi="Calibri"/>
          <w:b/>
          <w:color w:val="0B1D2B"/>
        </w:rPr>
        <w:t xml:space="preserve">8.2 Entrada de novo cliente</w:t>
      </w:r>
    </w:p>
    <w:p>
      <w:pPr>
        <w:numPr>
          <w:ilvl w:val="0"/>
          <w:numId w:val="1018"/>
        </w:numPr>
        <w:pStyle w:val="Compact"/>
      </w:pPr>
      <w:r>
        <w:t xml:space="preserve">colaborador cadastra ou importa empresa;</w:t>
      </w:r>
    </w:p>
    <w:p>
      <w:pPr>
        <w:numPr>
          <w:ilvl w:val="0"/>
          <w:numId w:val="1018"/>
        </w:numPr>
        <w:pStyle w:val="Compact"/>
      </w:pPr>
      <w:r>
        <w:t xml:space="preserve">escolhe responsável e tags;</w:t>
      </w:r>
    </w:p>
    <w:p>
      <w:pPr>
        <w:numPr>
          <w:ilvl w:val="0"/>
          <w:numId w:val="1018"/>
        </w:numPr>
        <w:pStyle w:val="Compact"/>
      </w:pPr>
      <w:r>
        <w:t xml:space="preserve">seleciona template publicado;</w:t>
      </w:r>
    </w:p>
    <w:p>
      <w:pPr>
        <w:numPr>
          <w:ilvl w:val="0"/>
          <w:numId w:val="1018"/>
        </w:numPr>
        <w:pStyle w:val="Compact"/>
      </w:pPr>
      <w:r>
        <w:t xml:space="preserve">informa data-base e variáveis;</w:t>
      </w:r>
    </w:p>
    <w:p>
      <w:pPr>
        <w:numPr>
          <w:ilvl w:val="0"/>
          <w:numId w:val="1018"/>
        </w:numPr>
        <w:pStyle w:val="Compact"/>
      </w:pPr>
      <w:r>
        <w:t xml:space="preserve">sistema simula;</w:t>
      </w:r>
    </w:p>
    <w:p>
      <w:pPr>
        <w:numPr>
          <w:ilvl w:val="0"/>
          <w:numId w:val="1018"/>
        </w:numPr>
        <w:pStyle w:val="Compact"/>
      </w:pPr>
      <w:r>
        <w:t xml:space="preserve">usuário revisa;</w:t>
      </w:r>
    </w:p>
    <w:p>
      <w:pPr>
        <w:numPr>
          <w:ilvl w:val="0"/>
          <w:numId w:val="1018"/>
        </w:numPr>
        <w:pStyle w:val="Compact"/>
      </w:pPr>
      <w:r>
        <w:t xml:space="preserve">transação cria instância, etapas, tarefas, checklists, documentos esperados e recorrências;</w:t>
      </w:r>
    </w:p>
    <w:p>
      <w:pPr>
        <w:numPr>
          <w:ilvl w:val="0"/>
          <w:numId w:val="1018"/>
        </w:numPr>
        <w:pStyle w:val="Compact"/>
      </w:pPr>
      <w:r>
        <w:t xml:space="preserve">notificações são agendadas;</w:t>
      </w:r>
    </w:p>
    <w:p>
      <w:pPr>
        <w:numPr>
          <w:ilvl w:val="0"/>
          <w:numId w:val="1018"/>
        </w:numPr>
        <w:pStyle w:val="Compact"/>
      </w:pPr>
      <w:r>
        <w:t xml:space="preserve">histórico registra autor, versão e parâmetros.</w:t>
      </w:r>
    </w:p>
    <w:p>
      <w:pPr>
        <w:pStyle w:val="FirstParagraph"/>
      </w:pPr>
      <w:r>
        <w:t xml:space="preserve">Se falhar, a operação inteira deve ser revertida. Aplicação repetida do mesmo template exige confirmação.</w:t>
      </w:r>
    </w:p>
    <w:bookmarkEnd w:id="137"/>
    <w:bookmarkStart w:id="138" w:name="execução"/>
    <w:p>
      <w:pPr>
        <w:pStyle w:val="Heading3"/>
      </w:pPr>
      <w:r>
        <w:rPr>
          <w:rFonts w:ascii="Calibri" w:hAnsi="Calibri"/>
          <w:b/>
          <w:color w:val="0B1D2B"/>
        </w:rPr>
        <w:t xml:space="preserve">8.3 Execução</w:t>
      </w:r>
    </w:p>
    <w:p>
      <w:pPr>
        <w:numPr>
          <w:ilvl w:val="0"/>
          <w:numId w:val="1019"/>
        </w:numPr>
        <w:pStyle w:val="Compact"/>
      </w:pPr>
      <w:r>
        <w:t xml:space="preserve">tarefa fica</w:t>
      </w:r>
      <w:r>
        <w:t xml:space="preserve"> </w:t>
      </w:r>
      <w:r>
        <w:t xml:space="preserve">“</w:t>
      </w:r>
      <w:r>
        <w:t xml:space="preserve">a fazer</w:t>
      </w:r>
      <w:r>
        <w:t xml:space="preserve">”</w:t>
      </w:r>
      <w:r>
        <w:t xml:space="preserve">;</w:t>
      </w:r>
    </w:p>
    <w:p>
      <w:pPr>
        <w:numPr>
          <w:ilvl w:val="0"/>
          <w:numId w:val="1019"/>
        </w:numPr>
        <w:pStyle w:val="Compact"/>
      </w:pPr>
      <w:r>
        <w:t xml:space="preserve">responsável inicia;</w:t>
      </w:r>
    </w:p>
    <w:p>
      <w:pPr>
        <w:numPr>
          <w:ilvl w:val="0"/>
          <w:numId w:val="1019"/>
        </w:numPr>
        <w:pStyle w:val="Compact"/>
      </w:pPr>
      <w:r>
        <w:t xml:space="preserve">checklist e documentos são processados;</w:t>
      </w:r>
    </w:p>
    <w:p>
      <w:pPr>
        <w:numPr>
          <w:ilvl w:val="0"/>
          <w:numId w:val="1019"/>
        </w:numPr>
        <w:pStyle w:val="Compact"/>
      </w:pPr>
      <w:r>
        <w:t xml:space="preserve">tarefa pode ficar</w:t>
      </w:r>
      <w:r>
        <w:t xml:space="preserve"> </w:t>
      </w:r>
      <w:r>
        <w:t xml:space="preserve">“</w:t>
      </w:r>
      <w:r>
        <w:t xml:space="preserve">aguardando cliente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aguardando terceiro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bloqueada</w:t>
      </w:r>
      <w:r>
        <w:t xml:space="preserve">”</w:t>
      </w:r>
      <w:r>
        <w:t xml:space="preserve">;</w:t>
      </w:r>
    </w:p>
    <w:p>
      <w:pPr>
        <w:numPr>
          <w:ilvl w:val="0"/>
          <w:numId w:val="1019"/>
        </w:numPr>
        <w:pStyle w:val="Compact"/>
      </w:pPr>
      <w:r>
        <w:t xml:space="preserve">ao cumprir critérios, conclui;</w:t>
      </w:r>
    </w:p>
    <w:p>
      <w:pPr>
        <w:numPr>
          <w:ilvl w:val="0"/>
          <w:numId w:val="1019"/>
        </w:numPr>
        <w:pStyle w:val="Compact"/>
      </w:pPr>
      <w:r>
        <w:t xml:space="preserve">dependências são liberadas;</w:t>
      </w:r>
    </w:p>
    <w:p>
      <w:pPr>
        <w:numPr>
          <w:ilvl w:val="0"/>
          <w:numId w:val="1019"/>
        </w:numPr>
        <w:pStyle w:val="Compact"/>
      </w:pPr>
      <w:r>
        <w:t xml:space="preserve">recorrência gera/agrega próxima ocorrência;</w:t>
      </w:r>
    </w:p>
    <w:p>
      <w:pPr>
        <w:numPr>
          <w:ilvl w:val="0"/>
          <w:numId w:val="1019"/>
        </w:numPr>
        <w:pStyle w:val="Compact"/>
      </w:pPr>
      <w:r>
        <w:t xml:space="preserve">indicadores são atualizados.</w:t>
      </w:r>
    </w:p>
    <w:bookmarkEnd w:id="138"/>
    <w:bookmarkStart w:id="139" w:name="solicitação-documental"/>
    <w:p>
      <w:pPr>
        <w:pStyle w:val="Heading3"/>
      </w:pPr>
      <w:r>
        <w:rPr>
          <w:rFonts w:ascii="Calibri" w:hAnsi="Calibri"/>
          <w:b/>
          <w:color w:val="0B1D2B"/>
        </w:rPr>
        <w:t xml:space="preserve">8.4 Solicitação documental</w:t>
      </w:r>
    </w:p>
    <w:p>
      <w:pPr>
        <w:numPr>
          <w:ilvl w:val="0"/>
          <w:numId w:val="1020"/>
        </w:numPr>
        <w:pStyle w:val="Compact"/>
      </w:pPr>
      <w:r>
        <w:t xml:space="preserve">colaborador cria solicitação;</w:t>
      </w:r>
    </w:p>
    <w:p>
      <w:pPr>
        <w:numPr>
          <w:ilvl w:val="0"/>
          <w:numId w:val="1020"/>
        </w:numPr>
        <w:pStyle w:val="Compact"/>
      </w:pPr>
      <w:r>
        <w:t xml:space="preserve">sistema notifica contato;</w:t>
      </w:r>
    </w:p>
    <w:p>
      <w:pPr>
        <w:numPr>
          <w:ilvl w:val="0"/>
          <w:numId w:val="1020"/>
        </w:numPr>
        <w:pStyle w:val="Compact"/>
      </w:pPr>
      <w:r>
        <w:t xml:space="preserve">cliente envia arquivo;</w:t>
      </w:r>
    </w:p>
    <w:p>
      <w:pPr>
        <w:numPr>
          <w:ilvl w:val="0"/>
          <w:numId w:val="1020"/>
        </w:numPr>
        <w:pStyle w:val="Compact"/>
      </w:pPr>
      <w:r>
        <w:t xml:space="preserve">arquivo passa por validação;</w:t>
      </w:r>
    </w:p>
    <w:p>
      <w:pPr>
        <w:numPr>
          <w:ilvl w:val="0"/>
          <w:numId w:val="1020"/>
        </w:numPr>
        <w:pStyle w:val="Compact"/>
      </w:pPr>
      <w:r>
        <w:t xml:space="preserve">colaborador aprova ou rejeita com motivo;</w:t>
      </w:r>
    </w:p>
    <w:p>
      <w:pPr>
        <w:numPr>
          <w:ilvl w:val="0"/>
          <w:numId w:val="1020"/>
        </w:numPr>
        <w:pStyle w:val="Compact"/>
      </w:pPr>
      <w:r>
        <w:t xml:space="preserve">aprovação pode concluir item do checklist;</w:t>
      </w:r>
    </w:p>
    <w:p>
      <w:pPr>
        <w:numPr>
          <w:ilvl w:val="0"/>
          <w:numId w:val="1020"/>
        </w:numPr>
        <w:pStyle w:val="Compact"/>
      </w:pPr>
      <w:r>
        <w:t xml:space="preserve">rejeição reabre a pendência e notifica o cliente.</w:t>
      </w:r>
    </w:p>
    <w:bookmarkEnd w:id="139"/>
    <w:bookmarkStart w:id="140" w:name="atualização-de-template"/>
    <w:p>
      <w:pPr>
        <w:pStyle w:val="Heading3"/>
      </w:pPr>
      <w:r>
        <w:rPr>
          <w:rFonts w:ascii="Calibri" w:hAnsi="Calibri"/>
          <w:b/>
          <w:color w:val="0B1D2B"/>
        </w:rPr>
        <w:t xml:space="preserve">8.5 Atualização de template</w:t>
      </w:r>
    </w:p>
    <w:p>
      <w:pPr>
        <w:numPr>
          <w:ilvl w:val="0"/>
          <w:numId w:val="1021"/>
        </w:numPr>
        <w:pStyle w:val="Compact"/>
      </w:pPr>
      <w:r>
        <w:t xml:space="preserve">usuário cria rascunho a partir da versão publicada;</w:t>
      </w:r>
    </w:p>
    <w:p>
      <w:pPr>
        <w:numPr>
          <w:ilvl w:val="0"/>
          <w:numId w:val="1021"/>
        </w:numPr>
        <w:pStyle w:val="Compact"/>
      </w:pPr>
      <w:r>
        <w:t xml:space="preserve">edita e valida;</w:t>
      </w:r>
    </w:p>
    <w:p>
      <w:pPr>
        <w:numPr>
          <w:ilvl w:val="0"/>
          <w:numId w:val="1021"/>
        </w:numPr>
        <w:pStyle w:val="Compact"/>
      </w:pPr>
      <w:r>
        <w:t xml:space="preserve">publica nova versão;</w:t>
      </w:r>
    </w:p>
    <w:p>
      <w:pPr>
        <w:numPr>
          <w:ilvl w:val="0"/>
          <w:numId w:val="1021"/>
        </w:numPr>
        <w:pStyle w:val="Compact"/>
      </w:pPr>
      <w:r>
        <w:t xml:space="preserve">novos clientes usam a nova versão;</w:t>
      </w:r>
    </w:p>
    <w:p>
      <w:pPr>
        <w:numPr>
          <w:ilvl w:val="0"/>
          <w:numId w:val="1021"/>
        </w:numPr>
        <w:pStyle w:val="Compact"/>
      </w:pPr>
      <w:r>
        <w:t xml:space="preserve">clientes existentes permanecem na anterior;</w:t>
      </w:r>
    </w:p>
    <w:p>
      <w:pPr>
        <w:numPr>
          <w:ilvl w:val="0"/>
          <w:numId w:val="1021"/>
        </w:numPr>
        <w:pStyle w:val="Compact"/>
      </w:pPr>
      <w:r>
        <w:t xml:space="preserve">gestor pode simular migração;</w:t>
      </w:r>
    </w:p>
    <w:p>
      <w:pPr>
        <w:numPr>
          <w:ilvl w:val="0"/>
          <w:numId w:val="1021"/>
        </w:numPr>
        <w:pStyle w:val="Compact"/>
      </w:pPr>
      <w:r>
        <w:t xml:space="preserve">atualização nunca remove silenciosamente tarefas executadas ou documentos.</w:t>
      </w:r>
    </w:p>
    <w:bookmarkEnd w:id="140"/>
    <w:bookmarkStart w:id="141" w:name="inadimplência"/>
    <w:p>
      <w:pPr>
        <w:pStyle w:val="Heading3"/>
      </w:pPr>
      <w:r>
        <w:rPr>
          <w:rFonts w:ascii="Calibri" w:hAnsi="Calibri"/>
          <w:b/>
          <w:color w:val="0B1D2B"/>
        </w:rPr>
        <w:t xml:space="preserve">8.6 Inadimplência</w:t>
      </w:r>
    </w:p>
    <w:p>
      <w:pPr>
        <w:numPr>
          <w:ilvl w:val="0"/>
          <w:numId w:val="1022"/>
        </w:numPr>
        <w:pStyle w:val="Compact"/>
      </w:pPr>
      <w:r>
        <w:t xml:space="preserve">falha de pagamento gera aviso;</w:t>
      </w:r>
    </w:p>
    <w:p>
      <w:pPr>
        <w:numPr>
          <w:ilvl w:val="0"/>
          <w:numId w:val="1022"/>
        </w:numPr>
        <w:pStyle w:val="Compact"/>
      </w:pPr>
      <w:r>
        <w:t xml:space="preserve">assinatura entra em</w:t>
      </w:r>
      <w:r>
        <w:t xml:space="preserve"> </w:t>
      </w:r>
      <w:r>
        <w:rPr>
          <w:rStyle w:val="VerbatimChar"/>
        </w:rPr>
        <w:t xml:space="preserve">past_due</w:t>
      </w:r>
      <w:r>
        <w:t xml:space="preserve">;</w:t>
      </w:r>
    </w:p>
    <w:p>
      <w:pPr>
        <w:numPr>
          <w:ilvl w:val="0"/>
          <w:numId w:val="1022"/>
        </w:numPr>
        <w:pStyle w:val="Compact"/>
      </w:pPr>
      <w:r>
        <w:t xml:space="preserve">existe período de tolerância configurável;</w:t>
      </w:r>
    </w:p>
    <w:p>
      <w:pPr>
        <w:numPr>
          <w:ilvl w:val="0"/>
          <w:numId w:val="1022"/>
        </w:numPr>
        <w:pStyle w:val="Compact"/>
      </w:pPr>
      <w:r>
        <w:t xml:space="preserve">após tolerância, organização fica somente leitura;</w:t>
      </w:r>
    </w:p>
    <w:p>
      <w:pPr>
        <w:numPr>
          <w:ilvl w:val="0"/>
          <w:numId w:val="1022"/>
        </w:numPr>
        <w:pStyle w:val="Compact"/>
      </w:pPr>
      <w:r>
        <w:t xml:space="preserve">proprietário ainda acessa cobrança e exportação permitida;</w:t>
      </w:r>
    </w:p>
    <w:p>
      <w:pPr>
        <w:numPr>
          <w:ilvl w:val="0"/>
          <w:numId w:val="1022"/>
        </w:numPr>
        <w:pStyle w:val="Compact"/>
      </w:pPr>
      <w:r>
        <w:t xml:space="preserve">regularização restaura acesso;</w:t>
      </w:r>
    </w:p>
    <w:p>
      <w:pPr>
        <w:numPr>
          <w:ilvl w:val="0"/>
          <w:numId w:val="1022"/>
        </w:numPr>
        <w:pStyle w:val="Compact"/>
      </w:pPr>
      <w:r>
        <w:t xml:space="preserve">exclusão segue política de retenção, nunca é imediata.</w:t>
      </w:r>
    </w:p>
    <w:bookmarkEnd w:id="141"/>
    <w:bookmarkStart w:id="142" w:name="encerramento"/>
    <w:p>
      <w:pPr>
        <w:pStyle w:val="Heading3"/>
      </w:pPr>
      <w:r>
        <w:rPr>
          <w:rFonts w:ascii="Calibri" w:hAnsi="Calibri"/>
          <w:b/>
          <w:color w:val="0B1D2B"/>
        </w:rPr>
        <w:t xml:space="preserve">8.7 Encerramento</w:t>
      </w:r>
    </w:p>
    <w:p>
      <w:pPr>
        <w:pStyle w:val="FirstParagraph"/>
      </w:pPr>
      <w:r>
        <w:t xml:space="preserve">Cancelamento mantém acesso até a data efetiva. Após isso, somente leitura por período configurado. Proprietário pode exportar dados. Exclusão definitiva exige confirmação reforçada e retenções legais.</w:t>
      </w:r>
    </w:p>
    <w:bookmarkEnd w:id="142"/>
    <w:bookmarkEnd w:id="143"/>
    <w:bookmarkStart w:id="150" w:name="estados-e-regras-de-negócio"/>
    <w:p>
      <w:pPr>
        <w:pStyle w:val="Heading2"/>
      </w:pPr>
      <w:r>
        <w:rPr>
          <w:rFonts w:ascii="Calibri" w:hAnsi="Calibri"/>
          <w:b/>
          <w:color w:val="175D7B"/>
        </w:rPr>
        <w:t xml:space="preserve">9. Estados e regras de negócio</w:t>
      </w:r>
    </w:p>
    <w:bookmarkStart w:id="144" w:name="cliente"/>
    <w:p>
      <w:pPr>
        <w:pStyle w:val="Heading3"/>
      </w:pPr>
      <w:r>
        <w:rPr>
          <w:rFonts w:ascii="Calibri" w:hAnsi="Calibri"/>
          <w:b/>
          <w:color w:val="0B1D2B"/>
        </w:rPr>
        <w:t xml:space="preserve">9.1 Cliente</w:t>
      </w:r>
    </w:p>
    <w:p>
      <w:pPr>
        <w:pStyle w:val="FirstParagraph"/>
      </w:pPr>
      <w:r>
        <w:rPr>
          <w:rStyle w:val="VerbatimChar"/>
        </w:rPr>
        <w:t xml:space="preserve">rascunho → ativo → suspenso → arquivado</w:t>
      </w:r>
    </w:p>
    <w:p>
      <w:pPr>
        <w:pStyle w:val="BodyText"/>
      </w:pPr>
      <w:r>
        <w:t xml:space="preserve">Arquivado não conta para cota apenas após confirmação de que não possui rotinas ativas. Exclusão física não é oferecida na interface comum.</w:t>
      </w:r>
    </w:p>
    <w:bookmarkEnd w:id="144"/>
    <w:bookmarkStart w:id="145" w:name="template"/>
    <w:p>
      <w:pPr>
        <w:pStyle w:val="Heading3"/>
      </w:pPr>
      <w:r>
        <w:rPr>
          <w:rFonts w:ascii="Calibri" w:hAnsi="Calibri"/>
          <w:b/>
          <w:color w:val="0B1D2B"/>
        </w:rPr>
        <w:t xml:space="preserve">9.2 Template</w:t>
      </w:r>
    </w:p>
    <w:p>
      <w:pPr>
        <w:pStyle w:val="FirstParagraph"/>
      </w:pPr>
      <w:r>
        <w:rPr>
          <w:rStyle w:val="VerbatimChar"/>
        </w:rPr>
        <w:t xml:space="preserve">rascunho → publicado → arquivado</w:t>
      </w:r>
    </w:p>
    <w:p>
      <w:pPr>
        <w:pStyle w:val="BodyText"/>
      </w:pPr>
      <w:r>
        <w:t xml:space="preserve">Versão publicada é imutável. Arquivamento impede novas aplicações, sem afetar instâncias.</w:t>
      </w:r>
    </w:p>
    <w:bookmarkEnd w:id="145"/>
    <w:bookmarkStart w:id="146" w:name="tarefa"/>
    <w:p>
      <w:pPr>
        <w:pStyle w:val="Heading3"/>
      </w:pPr>
      <w:r>
        <w:rPr>
          <w:rFonts w:ascii="Calibri" w:hAnsi="Calibri"/>
          <w:b/>
          <w:color w:val="0B1D2B"/>
        </w:rPr>
        <w:t xml:space="preserve">9.3 Tarefa</w:t>
      </w:r>
    </w:p>
    <w:p>
      <w:pPr>
        <w:pStyle w:val="FirstParagraph"/>
      </w:pPr>
      <w:r>
        <w:rPr>
          <w:rStyle w:val="VerbatimChar"/>
        </w:rPr>
        <w:t xml:space="preserve">a_fazer → em_andamento → aguardando_cliente/aguardando_terceiro/bloqueada → concluída</w:t>
      </w:r>
    </w:p>
    <w:p>
      <w:pPr>
        <w:pStyle w:val="BodyText"/>
      </w:pPr>
      <w:r>
        <w:t xml:space="preserve">Estados terminais adicionais: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. Reabertura de concluída exige motivo.</w:t>
      </w:r>
    </w:p>
    <w:p>
      <w:pPr>
        <w:pStyle w:val="BodyText"/>
      </w:pPr>
      <w:r>
        <w:t xml:space="preserve">Regras:</w:t>
      </w:r>
    </w:p>
    <w:p>
      <w:pPr>
        <w:numPr>
          <w:ilvl w:val="0"/>
          <w:numId w:val="1023"/>
        </w:numPr>
        <w:pStyle w:val="Compact"/>
      </w:pPr>
      <w:r>
        <w:t xml:space="preserve">tarefa bloqueada não pode ser concluída sem permissão excepcional;</w:t>
      </w:r>
    </w:p>
    <w:p>
      <w:pPr>
        <w:numPr>
          <w:ilvl w:val="0"/>
          <w:numId w:val="1023"/>
        </w:numPr>
        <w:pStyle w:val="Compact"/>
      </w:pPr>
      <w:r>
        <w:t xml:space="preserve">tarefa com checklist obrigatório incompleto não conclui;</w:t>
      </w:r>
    </w:p>
    <w:p>
      <w:pPr>
        <w:numPr>
          <w:ilvl w:val="0"/>
          <w:numId w:val="1023"/>
        </w:numPr>
        <w:pStyle w:val="Compact"/>
      </w:pPr>
      <w:r>
        <w:t xml:space="preserve">tarefa que exige documento aprovado não conclui antes da aprovação;</w:t>
      </w:r>
    </w:p>
    <w:p>
      <w:pPr>
        <w:numPr>
          <w:ilvl w:val="0"/>
          <w:numId w:val="1023"/>
        </w:numPr>
        <w:pStyle w:val="Compact"/>
      </w:pPr>
      <w:r>
        <w:t xml:space="preserve">alteração de prazo vencido registra motivo;</w:t>
      </w:r>
    </w:p>
    <w:p>
      <w:pPr>
        <w:numPr>
          <w:ilvl w:val="0"/>
          <w:numId w:val="1023"/>
        </w:numPr>
        <w:pStyle w:val="Compact"/>
      </w:pPr>
      <w:r>
        <w:t xml:space="preserve">conclusão registra data, autor e evidências;</w:t>
      </w:r>
    </w:p>
    <w:p>
      <w:pPr>
        <w:numPr>
          <w:ilvl w:val="0"/>
          <w:numId w:val="1023"/>
        </w:numPr>
        <w:pStyle w:val="Compact"/>
      </w:pPr>
      <w:r>
        <w:t xml:space="preserve">atrasada é cálculo derivado, não status persistido independente.</w:t>
      </w:r>
    </w:p>
    <w:bookmarkEnd w:id="146"/>
    <w:bookmarkStart w:id="147" w:name="documento"/>
    <w:p>
      <w:pPr>
        <w:pStyle w:val="Heading3"/>
      </w:pPr>
      <w:r>
        <w:rPr>
          <w:rFonts w:ascii="Calibri" w:hAnsi="Calibri"/>
          <w:b/>
          <w:color w:val="0B1D2B"/>
        </w:rPr>
        <w:t xml:space="preserve">9.4 Documento</w:t>
      </w:r>
    </w:p>
    <w:p>
      <w:pPr>
        <w:pStyle w:val="FirstParagraph"/>
      </w:pPr>
      <w:r>
        <w:rPr>
          <w:rStyle w:val="VerbatimChar"/>
        </w:rPr>
        <w:t xml:space="preserve">solicitado → recebido → em_análise → aprovado/rejeitado → arquivado</w:t>
      </w:r>
    </w:p>
    <w:p>
      <w:pPr>
        <w:pStyle w:val="BodyText"/>
      </w:pPr>
      <w:r>
        <w:t xml:space="preserve">Uma nova versão preserva as anteriores. Exclusão lógica e auditoria são obrigatórias.</w:t>
      </w:r>
    </w:p>
    <w:bookmarkEnd w:id="147"/>
    <w:bookmarkStart w:id="148" w:name="assinatura-1"/>
    <w:p>
      <w:pPr>
        <w:pStyle w:val="Heading3"/>
      </w:pPr>
      <w:r>
        <w:rPr>
          <w:rFonts w:ascii="Calibri" w:hAnsi="Calibri"/>
          <w:b/>
          <w:color w:val="0B1D2B"/>
        </w:rPr>
        <w:t xml:space="preserve">9.5 Assinatura</w:t>
      </w:r>
    </w:p>
    <w:p>
      <w:pPr>
        <w:pStyle w:val="FirstParagraph"/>
      </w:pPr>
      <w:r>
        <w:rPr>
          <w:rStyle w:val="VerbatimChar"/>
        </w:rPr>
        <w:t xml:space="preserve">trialing → active → past_due → read_only → canceled</w:t>
      </w:r>
    </w:p>
    <w:p>
      <w:pPr>
        <w:pStyle w:val="BodyText"/>
      </w:pPr>
      <w:r>
        <w:t xml:space="preserve">Estados devem mapear eventos reais do Stripe e permitir reconciliação.</w:t>
      </w:r>
    </w:p>
    <w:bookmarkEnd w:id="148"/>
    <w:bookmarkStart w:id="149" w:name="datas"/>
    <w:p>
      <w:pPr>
        <w:pStyle w:val="Heading3"/>
      </w:pPr>
      <w:r>
        <w:rPr>
          <w:rFonts w:ascii="Calibri" w:hAnsi="Calibri"/>
          <w:b/>
          <w:color w:val="0B1D2B"/>
        </w:rPr>
        <w:t xml:space="preserve">9.6 Datas</w:t>
      </w:r>
    </w:p>
    <w:p>
      <w:pPr>
        <w:numPr>
          <w:ilvl w:val="0"/>
          <w:numId w:val="1024"/>
        </w:numPr>
        <w:pStyle w:val="Compact"/>
      </w:pPr>
      <w:r>
        <w:t xml:space="preserve">armazenar timestamps em UTC;</w:t>
      </w:r>
    </w:p>
    <w:p>
      <w:pPr>
        <w:numPr>
          <w:ilvl w:val="0"/>
          <w:numId w:val="1024"/>
        </w:numPr>
        <w:pStyle w:val="Compact"/>
      </w:pPr>
      <w:r>
        <w:t xml:space="preserve">exibir conforme fuso da organização;</w:t>
      </w:r>
    </w:p>
    <w:p>
      <w:pPr>
        <w:numPr>
          <w:ilvl w:val="0"/>
          <w:numId w:val="1024"/>
        </w:numPr>
        <w:pStyle w:val="Compact"/>
      </w:pPr>
      <w:r>
        <w:t xml:space="preserve">datas puras não devem mudar por conversão de fuso;</w:t>
      </w:r>
    </w:p>
    <w:p>
      <w:pPr>
        <w:numPr>
          <w:ilvl w:val="0"/>
          <w:numId w:val="1024"/>
        </w:numPr>
        <w:pStyle w:val="Compact"/>
      </w:pPr>
      <w:r>
        <w:t xml:space="preserve">política de dia não útil: anterior, posterior ou manter;</w:t>
      </w:r>
    </w:p>
    <w:p>
      <w:pPr>
        <w:numPr>
          <w:ilvl w:val="0"/>
          <w:numId w:val="1024"/>
        </w:numPr>
        <w:pStyle w:val="Compact"/>
      </w:pPr>
      <w:r>
        <w:t xml:space="preserve">dependências circulares são proibidas;</w:t>
      </w:r>
    </w:p>
    <w:p>
      <w:pPr>
        <w:numPr>
          <w:ilvl w:val="0"/>
          <w:numId w:val="1024"/>
        </w:numPr>
        <w:pStyle w:val="Compact"/>
      </w:pPr>
      <w:r>
        <w:t xml:space="preserve">alteração na série recorrente não modifica ocorrências concluídas;</w:t>
      </w:r>
    </w:p>
    <w:p>
      <w:pPr>
        <w:numPr>
          <w:ilvl w:val="0"/>
          <w:numId w:val="1024"/>
        </w:numPr>
        <w:pStyle w:val="Compact"/>
      </w:pPr>
      <w:r>
        <w:t xml:space="preserve">cada job de geração deve ser idempotente.</w:t>
      </w:r>
    </w:p>
    <w:bookmarkEnd w:id="149"/>
    <w:bookmarkEnd w:id="150"/>
    <w:bookmarkStart w:id="155" w:name="planos-e-monetização"/>
    <w:p>
      <w:pPr>
        <w:pStyle w:val="Heading2"/>
      </w:pPr>
      <w:r>
        <w:rPr>
          <w:rFonts w:ascii="Calibri" w:hAnsi="Calibri"/>
          <w:b/>
          <w:color w:val="175D7B"/>
        </w:rPr>
        <w:t xml:space="preserve">10. Planos e monetização</w:t>
      </w:r>
    </w:p>
    <w:bookmarkStart w:id="151" w:name="planos-iniciais-sugeridos"/>
    <w:p>
      <w:pPr>
        <w:pStyle w:val="Heading3"/>
      </w:pPr>
      <w:r>
        <w:rPr>
          <w:rFonts w:ascii="Calibri" w:hAnsi="Calibri"/>
          <w:b/>
          <w:color w:val="0B1D2B"/>
        </w:rPr>
        <w:t xml:space="preserve">10.1 Planos iniciais sugeridos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250"/>
        <w:gridCol w:w="1667"/>
        <w:gridCol w:w="1667"/>
        <w:gridCol w:w="1667"/>
        <w:gridCol w:w="1667"/>
      </w:tblGrid>
      <w:tr>
        <w:trPr>
          <w:tblHeader w:val="true"/>
        </w:trPr>
        <w:tc>
          <w:tcPr>
            <w:tcMar>
              <w:top w:w="80" w:type="dxa"/>
              <w:start w:w="120" w:type="dxa"/>
              <w:bottom w:w="80" w:type="dxa"/>
              <w:end w:w="120" w:type="dxa"/>
            </w:tcMar>
            <w:shd w:fill="0B1D2B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Plano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  <w:shd w:fill="0B1D2B"/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Empresas ativas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  <w:shd w:fill="0B1D2B"/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Usuários internos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  <w:shd w:fill="0B1D2B"/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Armazenamento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  <w:shd w:fill="0B1D2B"/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Preço mensal sugerido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Essencial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30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5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10 GB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R$ 99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Profissional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100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15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50 GB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R$ 199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Gestão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250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40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150 GB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R$ 399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Escala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500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100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500 GB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R$ 699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Enterprise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negociado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negociado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negociado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a partir de R$ 999</w:t>
            </w:r>
          </w:p>
        </w:tc>
      </w:tr>
    </w:tbl>
    <w:p>
      <w:pPr>
        <w:pStyle w:val="BodyText"/>
      </w:pPr>
      <w:r>
        <w:t xml:space="preserve">Os preços são configuração comercial, não regra fixa. Plano anual pode oferecer dois meses equivalentes de desconto.</w:t>
      </w:r>
    </w:p>
    <w:bookmarkEnd w:id="151"/>
    <w:bookmarkStart w:id="152" w:name="recursos"/>
    <w:p>
      <w:pPr>
        <w:pStyle w:val="Heading3"/>
      </w:pPr>
      <w:r>
        <w:rPr>
          <w:rFonts w:ascii="Calibri" w:hAnsi="Calibri"/>
          <w:b/>
          <w:color w:val="0B1D2B"/>
        </w:rPr>
        <w:t xml:space="preserve">10.2 Recursos</w:t>
      </w:r>
    </w:p>
    <w:p>
      <w:pPr>
        <w:pStyle w:val="FirstParagraph"/>
      </w:pPr>
      <w:r>
        <w:t xml:space="preserve">Todos os planos recebem núcleo funcional. Diferenciação principal por carteira, usuários, armazenamento, exportações avançadas, personalização do portal e suporte. Não retirar recursos essenciais de segurança ou auditoria dos planos menores.</w:t>
      </w:r>
    </w:p>
    <w:bookmarkEnd w:id="152"/>
    <w:bookmarkStart w:id="153" w:name="cotas"/>
    <w:p>
      <w:pPr>
        <w:pStyle w:val="Heading3"/>
      </w:pPr>
      <w:r>
        <w:rPr>
          <w:rFonts w:ascii="Calibri" w:hAnsi="Calibri"/>
          <w:b/>
          <w:color w:val="0B1D2B"/>
        </w:rPr>
        <w:t xml:space="preserve">10.3 Cotas</w:t>
      </w:r>
    </w:p>
    <w:p>
      <w:pPr>
        <w:pStyle w:val="FirstParagraph"/>
      </w:pPr>
      <w:r>
        <w:t xml:space="preserve">Chaves sugeridas: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active_clients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internal_users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storage_bytes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monthly_exports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portal_contacts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active_templates</w:t>
      </w:r>
      <w:r>
        <w:t xml:space="preserve">.</w:t>
      </w:r>
    </w:p>
    <w:p>
      <w:pPr>
        <w:pStyle w:val="FirstParagraph"/>
      </w:pPr>
      <w:r>
        <w:t xml:space="preserve">Ao atingir 80%, avisar. Em 100%, bloquear nova criação que aumente consumo, sem bloquear leitura ou conclusão de trabalho existente. Upgrade tem efeito imediato após confirmação de cobrança.</w:t>
      </w:r>
    </w:p>
    <w:bookmarkEnd w:id="153"/>
    <w:bookmarkStart w:id="154" w:name="trial"/>
    <w:p>
      <w:pPr>
        <w:pStyle w:val="Heading3"/>
      </w:pPr>
      <w:r>
        <w:rPr>
          <w:rFonts w:ascii="Calibri" w:hAnsi="Calibri"/>
          <w:b/>
          <w:color w:val="0B1D2B"/>
        </w:rPr>
        <w:t xml:space="preserve">10.4 Trial</w:t>
      </w:r>
    </w:p>
    <w:p>
      <w:pPr>
        <w:pStyle w:val="FirstParagraph"/>
      </w:pPr>
      <w:r>
        <w:t xml:space="preserve">Opcional de 14 dias, limitado a dez clientes, três usuários e 1 GB. Não exigir cartão é decisão comercial configurável. Enviar avisos no 7º, 12º e 14º dia.</w:t>
      </w:r>
    </w:p>
    <w:bookmarkEnd w:id="154"/>
    <w:bookmarkEnd w:id="155"/>
    <w:bookmarkStart w:id="157" w:name="e-mails-e-notificações"/>
    <w:p>
      <w:pPr>
        <w:pStyle w:val="Heading2"/>
      </w:pPr>
      <w:r>
        <w:rPr>
          <w:rFonts w:ascii="Calibri" w:hAnsi="Calibri"/>
          <w:b/>
          <w:color w:val="175D7B"/>
        </w:rPr>
        <w:t xml:space="preserve">11. E-mails e notificações</w:t>
      </w:r>
    </w:p>
    <w:p>
      <w:pPr>
        <w:pStyle w:val="FirstParagraph"/>
      </w:pPr>
      <w:r>
        <w:t xml:space="preserve">Cada envio deve possuir template versionado, assunto, pré-cabeçalho, corpo HTML/texto, variáveis, botão, rodapé, preferência e registro de entrega.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Mar>
              <w:top w:w="80" w:type="dxa"/>
              <w:start w:w="120" w:type="dxa"/>
              <w:bottom w:w="80" w:type="dxa"/>
              <w:end w:w="120" w:type="dxa"/>
            </w:tcMar>
            <w:shd w:fill="0B1D2B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Código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  <w:shd w:fill="0B1D2B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Gatilho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  <w:shd w:fill="0B1D2B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Destinatário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  <w:shd w:fill="0B1D2B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Assunto sugerido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account_verify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cadastro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usuário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Confirme seu e-mail no Company Radar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organization_welcome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organização criada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proprietário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Seu escritório está pronto para ser configurado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team_invitation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convite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convidado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Você foi convidado para o escritório {{organization}}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client_portal_invitation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acesso concedido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contato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Acesse suas pendências e documentos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task_assigned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atribuição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responsável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Nova tarefa: {{task_title}}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task_due_soon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antecedência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responsável/gestor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Prazo próximo: {{task_title}}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task_overdue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atraso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responsável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Tarefa atrasada desde {{due_date}}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manager_overdue_digest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resumo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gestor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{{count}} pendências exigem atenção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document_requested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solicitação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cliente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Documento solicitado por {{organization}}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document_received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upload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responsável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Documento recebido de {{client}}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document_rejected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rejeição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cliente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Precisamos de uma nova versão do documento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document_expiring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validade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responsável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Documento vence em {{days}} dias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daily_digest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diário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usuário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Seu resumo do Company Radar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weekly_manager_digest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semanal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gestor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Resumo semanal da carteira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payment_succeeded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cobrança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proprietário/financeiro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Pagamento confirmado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payment_failed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falha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proprietário/financeiro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Não foi possível processar o pagamento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trial_ending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fim próximo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proprietário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Seu período de teste termina em {{days}} dias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subscription_canceled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cancelamento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proprietário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Cancelamento programado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export_ready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exportação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solicitante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Sua exportação está pronta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security_alert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evento sensível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usuário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Novo acesso ou alteração de segurança</w:t>
            </w:r>
          </w:p>
        </w:tc>
      </w:tr>
    </w:tbl>
    <w:bookmarkStart w:id="156" w:name="regras-antirruído"/>
    <w:p>
      <w:pPr>
        <w:pStyle w:val="Heading3"/>
      </w:pPr>
      <w:r>
        <w:rPr>
          <w:rFonts w:ascii="Calibri" w:hAnsi="Calibri"/>
          <w:b/>
          <w:color w:val="0B1D2B"/>
        </w:rPr>
        <w:t xml:space="preserve">11.1 Regras antirruído</w:t>
      </w:r>
    </w:p>
    <w:p>
      <w:pPr>
        <w:numPr>
          <w:ilvl w:val="0"/>
          <w:numId w:val="1026"/>
        </w:numPr>
        <w:pStyle w:val="Compact"/>
      </w:pPr>
      <w:r>
        <w:t xml:space="preserve">não enviar repetidamente o mesmo alerta no mesmo dia;</w:t>
      </w:r>
    </w:p>
    <w:p>
      <w:pPr>
        <w:numPr>
          <w:ilvl w:val="0"/>
          <w:numId w:val="1026"/>
        </w:numPr>
        <w:pStyle w:val="Compact"/>
      </w:pPr>
      <w:r>
        <w:t xml:space="preserve">agrupar lembretes em resumo quando configurado;</w:t>
      </w:r>
    </w:p>
    <w:p>
      <w:pPr>
        <w:numPr>
          <w:ilvl w:val="0"/>
          <w:numId w:val="1026"/>
        </w:numPr>
        <w:pStyle w:val="Compact"/>
      </w:pPr>
      <w:r>
        <w:t xml:space="preserve">atraso crítico pode escalar ao gestor após N dias;</w:t>
      </w:r>
    </w:p>
    <w:p>
      <w:pPr>
        <w:numPr>
          <w:ilvl w:val="0"/>
          <w:numId w:val="1026"/>
        </w:numPr>
        <w:pStyle w:val="Compact"/>
      </w:pPr>
      <w:r>
        <w:t xml:space="preserve">respeitar fuso e janela silenciosa;</w:t>
      </w:r>
    </w:p>
    <w:p>
      <w:pPr>
        <w:numPr>
          <w:ilvl w:val="0"/>
          <w:numId w:val="1026"/>
        </w:numPr>
        <w:pStyle w:val="Compact"/>
      </w:pPr>
      <w:r>
        <w:t xml:space="preserve">permitir cancelamento de comunicações não essenciais;</w:t>
      </w:r>
    </w:p>
    <w:p>
      <w:pPr>
        <w:numPr>
          <w:ilvl w:val="0"/>
          <w:numId w:val="1026"/>
        </w:numPr>
        <w:pStyle w:val="Compact"/>
      </w:pPr>
      <w:r>
        <w:t xml:space="preserve">links autenticados não devem expor dados sensíveis;</w:t>
      </w:r>
    </w:p>
    <w:p>
      <w:pPr>
        <w:numPr>
          <w:ilvl w:val="0"/>
          <w:numId w:val="1026"/>
        </w:numPr>
        <w:pStyle w:val="Compact"/>
      </w:pPr>
      <w:r>
        <w:t xml:space="preserve">registrar tentativa, sucesso, falha e reprocessamento.</w:t>
      </w:r>
    </w:p>
    <w:bookmarkEnd w:id="156"/>
    <w:bookmarkEnd w:id="157"/>
    <w:bookmarkStart w:id="160" w:name="modelo-de-dados"/>
    <w:p>
      <w:pPr>
        <w:pStyle w:val="Heading2"/>
      </w:pPr>
      <w:r>
        <w:rPr>
          <w:rFonts w:ascii="Calibri" w:hAnsi="Calibri"/>
          <w:b/>
          <w:color w:val="175D7B"/>
        </w:rPr>
        <w:t xml:space="preserve">12. Modelo de dados</w:t>
      </w:r>
    </w:p>
    <w:p>
      <w:pPr>
        <w:pStyle w:val="FirstParagraph"/>
      </w:pPr>
      <w:r>
        <w:t xml:space="preserve">Todos os modelos de domínio devem herdar</w:t>
      </w:r>
      <w:r>
        <w:t xml:space="preserve"> </w:t>
      </w:r>
      <w:r>
        <w:rPr>
          <w:rStyle w:val="VerbatimChar"/>
        </w:rPr>
        <w:t xml:space="preserve">TenantMixin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TimestampMixin</w:t>
      </w:r>
      <w:r>
        <w:t xml:space="preserve"> </w:t>
      </w:r>
      <w:r>
        <w:t xml:space="preserve">e, quando aplicável,</w:t>
      </w:r>
      <w:r>
        <w:t xml:space="preserve"> </w:t>
      </w:r>
      <w:r>
        <w:rPr>
          <w:rStyle w:val="VerbatimChar"/>
        </w:rPr>
        <w:t xml:space="preserve">SoftDeleteMixin</w:t>
      </w:r>
      <w:r>
        <w:t xml:space="preserve">.</w:t>
      </w:r>
    </w:p>
    <w:bookmarkStart w:id="158" w:name="entidades"/>
    <w:p>
      <w:pPr>
        <w:pStyle w:val="Heading3"/>
      </w:pPr>
      <w:r>
        <w:rPr>
          <w:rFonts w:ascii="Calibri" w:hAnsi="Calibri"/>
          <w:b/>
          <w:color w:val="0B1D2B"/>
        </w:rPr>
        <w:t xml:space="preserve">12.1 Entidades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BusinessUnit</w:t>
      </w:r>
      <w:r>
        <w:t xml:space="preserve">: unidade do escritório.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Department</w:t>
      </w:r>
      <w:r>
        <w:t xml:space="preserve">: departamento.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Team</w:t>
      </w:r>
      <w:r>
        <w:t xml:space="preserve">: equipe e membros.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ClientCompany</w:t>
      </w:r>
      <w:r>
        <w:t xml:space="preserve">: empresa-cliente.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ClientContact</w:t>
      </w:r>
      <w:r>
        <w:t xml:space="preserve">: contato.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ClientPortalAccess</w:t>
      </w:r>
      <w:r>
        <w:t xml:space="preserve">: vínculo de acesso.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Tag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TaggedItem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Template</w:t>
      </w:r>
      <w:r>
        <w:t xml:space="preserve">: identidade lógica.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TemplateVersion</w:t>
      </w:r>
      <w:r>
        <w:t xml:space="preserve">: versão imutável/publicável.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TemplateVariable</w:t>
      </w:r>
      <w:r>
        <w:t xml:space="preserve">: parâmetros.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TemplateStage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TemplateTask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TemplateChecklistItem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TemplateDocumentRequirement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TemplateDependency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TemplateApplication</w:t>
      </w:r>
      <w:r>
        <w:t xml:space="preserve">: aplicação a um cliente.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ProcessStageInstance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Task</w:t>
      </w:r>
      <w:r>
        <w:t xml:space="preserve">: ocorrência executável.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TaskAssignment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TaskDependency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ChecklistItem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TaskComment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TaskFollower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RecurrenceRule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DocumentRequest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Document</w:t>
      </w:r>
      <w:r>
        <w:t xml:space="preserve">: metadados de negócio.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DocumentVersion</w:t>
      </w:r>
      <w:r>
        <w:t xml:space="preserve">: referência ao StoredObject do Core.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DocumentType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CalendarEvent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Holiday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NotificationPreference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SavedFilter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ExportJob</w:t>
      </w:r>
      <w:r>
        <w:t xml:space="preserve">.</w:t>
      </w:r>
    </w:p>
    <w:bookmarkEnd w:id="158"/>
    <w:bookmarkStart w:id="159" w:name="restrições"/>
    <w:p>
      <w:pPr>
        <w:pStyle w:val="Heading3"/>
      </w:pPr>
      <w:r>
        <w:rPr>
          <w:rFonts w:ascii="Calibri" w:hAnsi="Calibri"/>
          <w:b/>
          <w:color w:val="0B1D2B"/>
        </w:rPr>
        <w:t xml:space="preserve">12.2 Restrições</w:t>
      </w:r>
    </w:p>
    <w:p>
      <w:pPr>
        <w:numPr>
          <w:ilvl w:val="0"/>
          <w:numId w:val="1028"/>
        </w:numPr>
        <w:pStyle w:val="Compact"/>
      </w:pPr>
      <w:r>
        <w:t xml:space="preserve">unicidade de CNPJ por organização e registros ativos;</w:t>
      </w:r>
    </w:p>
    <w:p>
      <w:pPr>
        <w:numPr>
          <w:ilvl w:val="0"/>
          <w:numId w:val="1028"/>
        </w:numPr>
        <w:pStyle w:val="Compact"/>
      </w:pPr>
      <w:r>
        <w:t xml:space="preserve">código do template único por organização;</w:t>
      </w:r>
    </w:p>
    <w:p>
      <w:pPr>
        <w:numPr>
          <w:ilvl w:val="0"/>
          <w:numId w:val="1028"/>
        </w:numPr>
        <w:pStyle w:val="Compact"/>
      </w:pPr>
      <w:r>
        <w:t xml:space="preserve">número da versão único por template;</w:t>
      </w:r>
    </w:p>
    <w:p>
      <w:pPr>
        <w:numPr>
          <w:ilvl w:val="0"/>
          <w:numId w:val="1028"/>
        </w:numPr>
        <w:pStyle w:val="Compact"/>
      </w:pPr>
      <w:r>
        <w:t xml:space="preserve">nomes de departamentos únicos por organização;</w:t>
      </w:r>
    </w:p>
    <w:p>
      <w:pPr>
        <w:numPr>
          <w:ilvl w:val="0"/>
          <w:numId w:val="1028"/>
        </w:numPr>
        <w:pStyle w:val="Compact"/>
      </w:pPr>
      <w:r>
        <w:t xml:space="preserve">integridade entre organização de cliente, tarefa, documento e template;</w:t>
      </w:r>
    </w:p>
    <w:p>
      <w:pPr>
        <w:numPr>
          <w:ilvl w:val="0"/>
          <w:numId w:val="1028"/>
        </w:numPr>
        <w:pStyle w:val="Compact"/>
      </w:pPr>
      <w:r>
        <w:t xml:space="preserve">nenhum FK cruzando organizações;</w:t>
      </w:r>
    </w:p>
    <w:p>
      <w:pPr>
        <w:numPr>
          <w:ilvl w:val="0"/>
          <w:numId w:val="1028"/>
        </w:numPr>
        <w:pStyle w:val="Compact"/>
      </w:pPr>
      <w:r>
        <w:t xml:space="preserve">índices em organização + status, organização + prazo, organização + cliente e campos de busca;</w:t>
      </w:r>
    </w:p>
    <w:p>
      <w:pPr>
        <w:numPr>
          <w:ilvl w:val="0"/>
          <w:numId w:val="1028"/>
        </w:numPr>
        <w:pStyle w:val="Compact"/>
      </w:pPr>
      <w:r>
        <w:t xml:space="preserve">exclusão lógica para dados operacionais;</w:t>
      </w:r>
    </w:p>
    <w:p>
      <w:pPr>
        <w:numPr>
          <w:ilvl w:val="0"/>
          <w:numId w:val="1028"/>
        </w:numPr>
        <w:pStyle w:val="Compact"/>
      </w:pPr>
      <w:r>
        <w:t xml:space="preserve">UUID público para URLs e IDs internos não sequenciais expostos.</w:t>
      </w:r>
    </w:p>
    <w:bookmarkEnd w:id="159"/>
    <w:bookmarkEnd w:id="160"/>
    <w:bookmarkStart w:id="165" w:name="arquitetura"/>
    <w:p>
      <w:pPr>
        <w:pStyle w:val="Heading2"/>
      </w:pPr>
      <w:r>
        <w:rPr>
          <w:rFonts w:ascii="Calibri" w:hAnsi="Calibri"/>
          <w:b/>
          <w:color w:val="175D7B"/>
        </w:rPr>
        <w:t xml:space="preserve">13. Arquitetura</w:t>
      </w:r>
    </w:p>
    <w:bookmarkStart w:id="161" w:name="reutilização-do-company-core"/>
    <w:p>
      <w:pPr>
        <w:pStyle w:val="Heading3"/>
      </w:pPr>
      <w:r>
        <w:rPr>
          <w:rFonts w:ascii="Calibri" w:hAnsi="Calibri"/>
          <w:b/>
          <w:color w:val="0B1D2B"/>
        </w:rPr>
        <w:t xml:space="preserve">13.1 Reutilização do Company Core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Mar>
              <w:top w:w="80" w:type="dxa"/>
              <w:start w:w="120" w:type="dxa"/>
              <w:bottom w:w="80" w:type="dxa"/>
              <w:end w:w="120" w:type="dxa"/>
            </w:tcMar>
            <w:shd w:fill="0B1D2B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Necessidade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  <w:shd w:fill="0B1D2B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Componente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organizações e membros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apps.organizations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usuários e autenticação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apps.users</w:t>
            </w: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 </w:t>
            </w: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+ allauth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RBAC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apps.permissions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planos e Stripe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apps.billing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limites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apps.quotas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arquivos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apps.storage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e-mails e eventos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apps.notifications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auditoria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apps.audit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jobs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apps.jobs</w:t>
            </w: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 </w:t>
            </w: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+ Celery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uso e métricas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apps.usage</w:t>
            </w: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analytics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API keys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apps.api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busca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apps.search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flags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apps.feature_flags</w:t>
            </w:r>
          </w:p>
        </w:tc>
      </w:tr>
      <w:tr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Calibri" w:hAnsi="Calibri"/>
                <w:b w:val="0"/>
                <w:color w:val="0B1D2B"/>
                <w:sz w:val="18"/>
              </w:rPr>
              <w:t xml:space="preserve">configurações</w:t>
            </w:r>
          </w:p>
        </w:tc>
        <w:tc>
          <w:tcPr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Calibri" w:hAnsi="Calibri"/>
                <w:b w:val="0"/>
                <w:color w:val="0B1D2B"/>
                <w:sz w:val="18"/>
              </w:rPr>
              <w:t xml:space="preserve">apps.settings</w:t>
            </w:r>
          </w:p>
        </w:tc>
      </w:tr>
    </w:tbl>
    <w:bookmarkEnd w:id="161"/>
    <w:bookmarkStart w:id="162" w:name="apps-novos-sugeridos"/>
    <w:p>
      <w:pPr>
        <w:pStyle w:val="Heading3"/>
      </w:pPr>
      <w:r>
        <w:rPr>
          <w:rFonts w:ascii="Calibri" w:hAnsi="Calibri"/>
          <w:b/>
          <w:color w:val="0B1D2B"/>
        </w:rPr>
        <w:t xml:space="preserve">13.2 Apps novos sugeridos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apps/clients</w:t>
      </w:r>
      <w:r>
        <w:t xml:space="preserve">;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apps/radar_templates</w:t>
      </w:r>
      <w:r>
        <w:t xml:space="preserve">;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apps/radar_tasks</w:t>
      </w:r>
      <w:r>
        <w:t xml:space="preserve">;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apps/radar_documents</w:t>
      </w:r>
      <w:r>
        <w:t xml:space="preserve">;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apps/radar_calendar</w:t>
      </w:r>
      <w:r>
        <w:t xml:space="preserve">;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apps/radar_portal</w:t>
      </w:r>
      <w:r>
        <w:t xml:space="preserve">;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apps/radar_reports</w:t>
      </w:r>
      <w:r>
        <w:t xml:space="preserve">.</w:t>
      </w:r>
    </w:p>
    <w:p>
      <w:pPr>
        <w:pStyle w:val="FirstParagraph"/>
      </w:pPr>
      <w:r>
        <w:t xml:space="preserve">Não criar um único app gigante. Serviços de domínio devem ter transações claras e selectors devem impedir consultas sem tenant.</w:t>
      </w:r>
    </w:p>
    <w:bookmarkEnd w:id="162"/>
    <w:bookmarkStart w:id="163" w:name="camadas"/>
    <w:p>
      <w:pPr>
        <w:pStyle w:val="Heading3"/>
      </w:pPr>
      <w:r>
        <w:rPr>
          <w:rFonts w:ascii="Calibri" w:hAnsi="Calibri"/>
          <w:b/>
          <w:color w:val="0B1D2B"/>
        </w:rPr>
        <w:t xml:space="preserve">13.3 Camadas</w:t>
      </w:r>
    </w:p>
    <w:p>
      <w:pPr>
        <w:numPr>
          <w:ilvl w:val="0"/>
          <w:numId w:val="1030"/>
        </w:numPr>
        <w:pStyle w:val="Compact"/>
      </w:pPr>
      <w:r>
        <w:t xml:space="preserve">models: estrutura e invariantes locais;</w:t>
      </w:r>
    </w:p>
    <w:p>
      <w:pPr>
        <w:numPr>
          <w:ilvl w:val="0"/>
          <w:numId w:val="1030"/>
        </w:numPr>
        <w:pStyle w:val="Compact"/>
      </w:pPr>
      <w:r>
        <w:t xml:space="preserve">services: comandos e transações;</w:t>
      </w:r>
    </w:p>
    <w:p>
      <w:pPr>
        <w:numPr>
          <w:ilvl w:val="0"/>
          <w:numId w:val="1030"/>
        </w:numPr>
        <w:pStyle w:val="Compact"/>
      </w:pPr>
      <w:r>
        <w:t xml:space="preserve">selectors: leitura otimizada;</w:t>
      </w:r>
    </w:p>
    <w:p>
      <w:pPr>
        <w:numPr>
          <w:ilvl w:val="0"/>
          <w:numId w:val="1030"/>
        </w:numPr>
        <w:pStyle w:val="Compact"/>
      </w:pPr>
      <w:r>
        <w:t xml:space="preserve">views: orquestração HTTP/HTMX;</w:t>
      </w:r>
    </w:p>
    <w:p>
      <w:pPr>
        <w:numPr>
          <w:ilvl w:val="0"/>
          <w:numId w:val="1030"/>
        </w:numPr>
        <w:pStyle w:val="Compact"/>
      </w:pPr>
      <w:r>
        <w:t xml:space="preserve">serializers: contrato REST;</w:t>
      </w:r>
    </w:p>
    <w:p>
      <w:pPr>
        <w:numPr>
          <w:ilvl w:val="0"/>
          <w:numId w:val="1030"/>
        </w:numPr>
        <w:pStyle w:val="Compact"/>
      </w:pPr>
      <w:r>
        <w:t xml:space="preserve">tasks: trabalho assíncrono idempotente;</w:t>
      </w:r>
    </w:p>
    <w:p>
      <w:pPr>
        <w:numPr>
          <w:ilvl w:val="0"/>
          <w:numId w:val="1030"/>
        </w:numPr>
        <w:pStyle w:val="Compact"/>
      </w:pPr>
      <w:r>
        <w:t xml:space="preserve">policies/permissions: autorização;</w:t>
      </w:r>
    </w:p>
    <w:p>
      <w:pPr>
        <w:numPr>
          <w:ilvl w:val="0"/>
          <w:numId w:val="1030"/>
        </w:numPr>
        <w:pStyle w:val="Compact"/>
      </w:pPr>
      <w:r>
        <w:t xml:space="preserve">templates: interface acessível.</w:t>
      </w:r>
    </w:p>
    <w:bookmarkEnd w:id="163"/>
    <w:bookmarkStart w:id="164" w:name="eventos-de-domínio"/>
    <w:p>
      <w:pPr>
        <w:pStyle w:val="Heading3"/>
      </w:pPr>
      <w:r>
        <w:rPr>
          <w:rFonts w:ascii="Calibri" w:hAnsi="Calibri"/>
          <w:b/>
          <w:color w:val="0B1D2B"/>
        </w:rPr>
        <w:t xml:space="preserve">13.4 Eventos de domínio</w:t>
      </w:r>
    </w:p>
    <w:p>
      <w:pPr>
        <w:pStyle w:val="FirstParagraph"/>
      </w:pPr>
      <w:r>
        <w:t xml:space="preserve">Exemplos:</w:t>
      </w:r>
      <w:r>
        <w:t xml:space="preserve"> </w:t>
      </w:r>
      <w:r>
        <w:rPr>
          <w:rStyle w:val="VerbatimChar"/>
        </w:rPr>
        <w:t xml:space="preserve">client.created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template.published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template.applied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task.assigned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task.completed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task.overdue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document.requested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document.received</w:t>
      </w:r>
      <w:r>
        <w:t xml:space="preserve">. Eventos alimentam notificações, auditoria, analytics e webhooks sem acoplar módulos.</w:t>
      </w:r>
    </w:p>
    <w:bookmarkEnd w:id="164"/>
    <w:bookmarkEnd w:id="165"/>
    <w:bookmarkStart w:id="172" w:name="api-e-conexões"/>
    <w:p>
      <w:pPr>
        <w:pStyle w:val="Heading2"/>
      </w:pPr>
      <w:r>
        <w:rPr>
          <w:rFonts w:ascii="Calibri" w:hAnsi="Calibri"/>
          <w:b/>
          <w:color w:val="175D7B"/>
        </w:rPr>
        <w:t xml:space="preserve">14. API e conexões</w:t>
      </w:r>
    </w:p>
    <w:bookmarkStart w:id="166" w:name="api-rest"/>
    <w:p>
      <w:pPr>
        <w:pStyle w:val="Heading3"/>
      </w:pPr>
      <w:r>
        <w:rPr>
          <w:rFonts w:ascii="Calibri" w:hAnsi="Calibri"/>
          <w:b/>
          <w:color w:val="0B1D2B"/>
        </w:rPr>
        <w:t xml:space="preserve">14.1 API REST</w:t>
      </w:r>
    </w:p>
    <w:p>
      <w:pPr>
        <w:pStyle w:val="FirstParagraph"/>
      </w:pPr>
      <w:r>
        <w:t xml:space="preserve">Prefixo</w:t>
      </w:r>
      <w:r>
        <w:t xml:space="preserve"> </w:t>
      </w:r>
      <w:r>
        <w:rPr>
          <w:rStyle w:val="VerbatimChar"/>
        </w:rPr>
        <w:t xml:space="preserve">/api/v1/radar/</w:t>
      </w:r>
      <w:r>
        <w:t xml:space="preserve">.</w:t>
      </w:r>
    </w:p>
    <w:p>
      <w:pPr>
        <w:pStyle w:val="BodyText"/>
      </w:pPr>
      <w:r>
        <w:t xml:space="preserve">Recursos: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/clients</w:t>
      </w:r>
      <w:r>
        <w:t xml:space="preserve">;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/client-contacts</w:t>
      </w:r>
      <w:r>
        <w:t xml:space="preserve">;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/templates</w:t>
      </w:r>
      <w:r>
        <w:t xml:space="preserve">;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/template-versions</w:t>
      </w:r>
      <w:r>
        <w:t xml:space="preserve">;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/template-applications</w:t>
      </w:r>
      <w:r>
        <w:t xml:space="preserve">;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/tasks</w:t>
      </w:r>
      <w:r>
        <w:t xml:space="preserve">;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/checklist-items</w:t>
      </w:r>
      <w:r>
        <w:t xml:space="preserve">;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/document-requests</w:t>
      </w:r>
      <w:r>
        <w:t xml:space="preserve">;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/documents</w:t>
      </w:r>
      <w:r>
        <w:t xml:space="preserve">;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/calendar-events</w:t>
      </w:r>
      <w:r>
        <w:t xml:space="preserve">;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/departments</w:t>
      </w:r>
      <w:r>
        <w:t xml:space="preserve">;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/reports</w:t>
      </w:r>
      <w:r>
        <w:t xml:space="preserve">;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/exports</w:t>
      </w:r>
      <w:r>
        <w:t xml:space="preserve">.</w:t>
      </w:r>
    </w:p>
    <w:p>
      <w:pPr>
        <w:pStyle w:val="FirstParagraph"/>
      </w:pPr>
      <w:r>
        <w:t xml:space="preserve">Usar paginação, filtros, ordenação, throttling, OpenAPI e envelope padrão do Core. Operações como aplicação de template devem ser endpoints de ação, não CRUD artificial.</w:t>
      </w:r>
    </w:p>
    <w:bookmarkEnd w:id="166"/>
    <w:bookmarkStart w:id="167" w:name="stripe"/>
    <w:p>
      <w:pPr>
        <w:pStyle w:val="Heading3"/>
      </w:pPr>
      <w:r>
        <w:rPr>
          <w:rFonts w:ascii="Calibri" w:hAnsi="Calibri"/>
          <w:b/>
          <w:color w:val="0B1D2B"/>
        </w:rPr>
        <w:t xml:space="preserve">14.2 Stripe</w:t>
      </w:r>
    </w:p>
    <w:p>
      <w:pPr>
        <w:pStyle w:val="FirstParagraph"/>
      </w:pPr>
      <w:r>
        <w:t xml:space="preserve">Checkout, portal do cliente Stripe, assinatura, faturas e webhooks assinados. Idempotência, reconciliação diária e tratamento de eventos fora de ordem são obrigatórios.</w:t>
      </w:r>
    </w:p>
    <w:bookmarkEnd w:id="167"/>
    <w:bookmarkStart w:id="168" w:name="e-mail"/>
    <w:p>
      <w:pPr>
        <w:pStyle w:val="Heading3"/>
      </w:pPr>
      <w:r>
        <w:rPr>
          <w:rFonts w:ascii="Calibri" w:hAnsi="Calibri"/>
          <w:b/>
          <w:color w:val="0B1D2B"/>
        </w:rPr>
        <w:t xml:space="preserve">14.3 E-mail</w:t>
      </w:r>
    </w:p>
    <w:p>
      <w:pPr>
        <w:pStyle w:val="FirstParagraph"/>
      </w:pPr>
      <w:r>
        <w:t xml:space="preserve">Backend configurável pelo Company Core. MVP precisa de e-mail transacional; WhatsApp, Slack e SMS ficam fora do escopo.</w:t>
      </w:r>
    </w:p>
    <w:bookmarkEnd w:id="168"/>
    <w:bookmarkStart w:id="169" w:name="armazenamento"/>
    <w:p>
      <w:pPr>
        <w:pStyle w:val="Heading3"/>
      </w:pPr>
      <w:r>
        <w:rPr>
          <w:rFonts w:ascii="Calibri" w:hAnsi="Calibri"/>
          <w:b/>
          <w:color w:val="0B1D2B"/>
        </w:rPr>
        <w:t xml:space="preserve">14.4 Armazenamento</w:t>
      </w:r>
    </w:p>
    <w:p>
      <w:pPr>
        <w:pStyle w:val="FirstParagraph"/>
      </w:pPr>
      <w:r>
        <w:t xml:space="preserve">Produção em S3/R2 compatível. Arquivos privados, criptografia do provedor, URLs temporárias, limites e metadados. Nunca servir diretamente de pasta pública.</w:t>
      </w:r>
    </w:p>
    <w:bookmarkEnd w:id="169"/>
    <w:bookmarkStart w:id="170" w:name="importaçãoexportação"/>
    <w:p>
      <w:pPr>
        <w:pStyle w:val="Heading3"/>
      </w:pPr>
      <w:r>
        <w:rPr>
          <w:rFonts w:ascii="Calibri" w:hAnsi="Calibri"/>
          <w:b/>
          <w:color w:val="0B1D2B"/>
        </w:rPr>
        <w:t xml:space="preserve">14.5 Importação/exportação</w:t>
      </w:r>
    </w:p>
    <w:p>
      <w:pPr>
        <w:pStyle w:val="FirstParagraph"/>
      </w:pPr>
      <w:r>
        <w:t xml:space="preserve">CSV/XLSX com processamento assíncrono. Arquivo de importação original e relatório de resultado com retenção limitada.</w:t>
      </w:r>
    </w:p>
    <w:bookmarkEnd w:id="170"/>
    <w:bookmarkStart w:id="171" w:name="webhooks-de-saída"/>
    <w:p>
      <w:pPr>
        <w:pStyle w:val="Heading3"/>
      </w:pPr>
      <w:r>
        <w:rPr>
          <w:rFonts w:ascii="Calibri" w:hAnsi="Calibri"/>
          <w:b/>
          <w:color w:val="0B1D2B"/>
        </w:rPr>
        <w:t xml:space="preserve">14.6 Webhooks de saída</w:t>
      </w:r>
    </w:p>
    <w:p>
      <w:pPr>
        <w:pStyle w:val="FirstParagraph"/>
      </w:pPr>
      <w:r>
        <w:t xml:space="preserve">Preparar eventos para clientes Enterprise, inicialmente desabilitados por flag.</w:t>
      </w:r>
    </w:p>
    <w:bookmarkEnd w:id="171"/>
    <w:bookmarkEnd w:id="172"/>
    <w:bookmarkStart w:id="173" w:name="jobs-agendados"/>
    <w:p>
      <w:pPr>
        <w:pStyle w:val="Heading2"/>
      </w:pPr>
      <w:r>
        <w:rPr>
          <w:rFonts w:ascii="Calibri" w:hAnsi="Calibri"/>
          <w:b/>
          <w:color w:val="175D7B"/>
        </w:rPr>
        <w:t xml:space="preserve">15. Jobs agendados</w:t>
      </w:r>
    </w:p>
    <w:p>
      <w:pPr>
        <w:numPr>
          <w:ilvl w:val="0"/>
          <w:numId w:val="1032"/>
        </w:numPr>
        <w:pStyle w:val="Compact"/>
      </w:pPr>
      <w:r>
        <w:t xml:space="preserve">gerar ocorrências recorrentes;</w:t>
      </w:r>
    </w:p>
    <w:p>
      <w:pPr>
        <w:numPr>
          <w:ilvl w:val="0"/>
          <w:numId w:val="1032"/>
        </w:numPr>
        <w:pStyle w:val="Compact"/>
      </w:pPr>
      <w:r>
        <w:t xml:space="preserve">identificar tarefas próximas e atrasadas;</w:t>
      </w:r>
    </w:p>
    <w:p>
      <w:pPr>
        <w:numPr>
          <w:ilvl w:val="0"/>
          <w:numId w:val="1032"/>
        </w:numPr>
        <w:pStyle w:val="Compact"/>
      </w:pPr>
      <w:r>
        <w:t xml:space="preserve">identificar documentos a vencer;</w:t>
      </w:r>
    </w:p>
    <w:p>
      <w:pPr>
        <w:numPr>
          <w:ilvl w:val="0"/>
          <w:numId w:val="1032"/>
        </w:numPr>
        <w:pStyle w:val="Compact"/>
      </w:pPr>
      <w:r>
        <w:t xml:space="preserve">enviar resumos;</w:t>
      </w:r>
    </w:p>
    <w:p>
      <w:pPr>
        <w:numPr>
          <w:ilvl w:val="0"/>
          <w:numId w:val="1032"/>
        </w:numPr>
        <w:pStyle w:val="Compact"/>
      </w:pPr>
      <w:r>
        <w:t xml:space="preserve">expirar convites;</w:t>
      </w:r>
    </w:p>
    <w:p>
      <w:pPr>
        <w:numPr>
          <w:ilvl w:val="0"/>
          <w:numId w:val="1032"/>
        </w:numPr>
        <w:pStyle w:val="Compact"/>
      </w:pPr>
      <w:r>
        <w:t xml:space="preserve">processar importações/exportações;</w:t>
      </w:r>
    </w:p>
    <w:p>
      <w:pPr>
        <w:numPr>
          <w:ilvl w:val="0"/>
          <w:numId w:val="1032"/>
        </w:numPr>
        <w:pStyle w:val="Compact"/>
      </w:pPr>
      <w:r>
        <w:t xml:space="preserve">reconciliar assinatura;</w:t>
      </w:r>
    </w:p>
    <w:p>
      <w:pPr>
        <w:numPr>
          <w:ilvl w:val="0"/>
          <w:numId w:val="1032"/>
        </w:numPr>
        <w:pStyle w:val="Compact"/>
      </w:pPr>
      <w:r>
        <w:t xml:space="preserve">limpar arquivos temporários;</w:t>
      </w:r>
    </w:p>
    <w:p>
      <w:pPr>
        <w:numPr>
          <w:ilvl w:val="0"/>
          <w:numId w:val="1032"/>
        </w:numPr>
        <w:pStyle w:val="Compact"/>
      </w:pPr>
      <w:r>
        <w:t xml:space="preserve">recalcular agregações;</w:t>
      </w:r>
    </w:p>
    <w:p>
      <w:pPr>
        <w:numPr>
          <w:ilvl w:val="0"/>
          <w:numId w:val="1032"/>
        </w:numPr>
        <w:pStyle w:val="Compact"/>
      </w:pPr>
      <w:r>
        <w:t xml:space="preserve">reprocessar notificações elegíveis.</w:t>
      </w:r>
    </w:p>
    <w:p>
      <w:pPr>
        <w:pStyle w:val="FirstParagraph"/>
      </w:pPr>
      <w:r>
        <w:t xml:space="preserve">Cada job deve possuir trava, idempotency key, tentativas com backoff, dead-letter operacional ou estado de falha e observabilidade.</w:t>
      </w:r>
    </w:p>
    <w:bookmarkEnd w:id="173"/>
    <w:bookmarkStart w:id="174" w:name="segurança-lgpd-e-auditoria"/>
    <w:p>
      <w:pPr>
        <w:pStyle w:val="Heading2"/>
      </w:pPr>
      <w:r>
        <w:rPr>
          <w:rFonts w:ascii="Calibri" w:hAnsi="Calibri"/>
          <w:b/>
          <w:color w:val="175D7B"/>
        </w:rPr>
        <w:t xml:space="preserve">16. Segurança, LGPD e auditoria</w:t>
      </w:r>
    </w:p>
    <w:p>
      <w:pPr>
        <w:numPr>
          <w:ilvl w:val="0"/>
          <w:numId w:val="1033"/>
        </w:numPr>
        <w:pStyle w:val="Compact"/>
      </w:pPr>
      <w:r>
        <w:t xml:space="preserve">isolamento multitenant testado;</w:t>
      </w:r>
    </w:p>
    <w:p>
      <w:pPr>
        <w:numPr>
          <w:ilvl w:val="0"/>
          <w:numId w:val="1033"/>
        </w:numPr>
        <w:pStyle w:val="Compact"/>
      </w:pPr>
      <w:r>
        <w:t xml:space="preserve">princípio do menor privilégio;</w:t>
      </w:r>
    </w:p>
    <w:p>
      <w:pPr>
        <w:numPr>
          <w:ilvl w:val="0"/>
          <w:numId w:val="1033"/>
        </w:numPr>
        <w:pStyle w:val="Compact"/>
      </w:pPr>
      <w:r>
        <w:t xml:space="preserve">CSRF, XSS, SQL injection e upload seguro;</w:t>
      </w:r>
    </w:p>
    <w:p>
      <w:pPr>
        <w:numPr>
          <w:ilvl w:val="0"/>
          <w:numId w:val="1033"/>
        </w:numPr>
        <w:pStyle w:val="Compact"/>
      </w:pPr>
      <w:r>
        <w:t xml:space="preserve">senhas por allauth e cookies seguros;</w:t>
      </w:r>
    </w:p>
    <w:p>
      <w:pPr>
        <w:numPr>
          <w:ilvl w:val="0"/>
          <w:numId w:val="1033"/>
        </w:numPr>
        <w:pStyle w:val="Compact"/>
      </w:pPr>
      <w:r>
        <w:t xml:space="preserve">2FA quando disponível;</w:t>
      </w:r>
    </w:p>
    <w:p>
      <w:pPr>
        <w:numPr>
          <w:ilvl w:val="0"/>
          <w:numId w:val="1033"/>
        </w:numPr>
        <w:pStyle w:val="Compact"/>
      </w:pPr>
      <w:r>
        <w:t xml:space="preserve">criptografia em trânsito;</w:t>
      </w:r>
    </w:p>
    <w:p>
      <w:pPr>
        <w:numPr>
          <w:ilvl w:val="0"/>
          <w:numId w:val="1033"/>
        </w:numPr>
        <w:pStyle w:val="Compact"/>
      </w:pPr>
      <w:r>
        <w:t xml:space="preserve">segredos somente em ambiente;</w:t>
      </w:r>
    </w:p>
    <w:p>
      <w:pPr>
        <w:numPr>
          <w:ilvl w:val="0"/>
          <w:numId w:val="1033"/>
        </w:numPr>
        <w:pStyle w:val="Compact"/>
      </w:pPr>
      <w:r>
        <w:t xml:space="preserve">logs sem conteúdo sensível;</w:t>
      </w:r>
    </w:p>
    <w:p>
      <w:pPr>
        <w:numPr>
          <w:ilvl w:val="0"/>
          <w:numId w:val="1033"/>
        </w:numPr>
        <w:pStyle w:val="Compact"/>
      </w:pPr>
      <w:r>
        <w:t xml:space="preserve">backups criptografados e restauração testada;</w:t>
      </w:r>
    </w:p>
    <w:p>
      <w:pPr>
        <w:numPr>
          <w:ilvl w:val="0"/>
          <w:numId w:val="1033"/>
        </w:numPr>
        <w:pStyle w:val="Compact"/>
      </w:pPr>
      <w:r>
        <w:t xml:space="preserve">retenção configurada;</w:t>
      </w:r>
    </w:p>
    <w:p>
      <w:pPr>
        <w:numPr>
          <w:ilvl w:val="0"/>
          <w:numId w:val="1033"/>
        </w:numPr>
        <w:pStyle w:val="Compact"/>
      </w:pPr>
      <w:r>
        <w:t xml:space="preserve">exportação e exclusão de titular;</w:t>
      </w:r>
    </w:p>
    <w:p>
      <w:pPr>
        <w:numPr>
          <w:ilvl w:val="0"/>
          <w:numId w:val="1033"/>
        </w:numPr>
        <w:pStyle w:val="Compact"/>
      </w:pPr>
      <w:r>
        <w:t xml:space="preserve">contratos e consentimentos versionados;</w:t>
      </w:r>
    </w:p>
    <w:p>
      <w:pPr>
        <w:numPr>
          <w:ilvl w:val="0"/>
          <w:numId w:val="1033"/>
        </w:numPr>
        <w:pStyle w:val="Compact"/>
      </w:pPr>
      <w:r>
        <w:t xml:space="preserve">subprocessadores documentados;</w:t>
      </w:r>
    </w:p>
    <w:p>
      <w:pPr>
        <w:numPr>
          <w:ilvl w:val="0"/>
          <w:numId w:val="1033"/>
        </w:numPr>
        <w:pStyle w:val="Compact"/>
      </w:pPr>
      <w:r>
        <w:t xml:space="preserve">trilha de criação, edição, conclusão, download, upload, exclusão, permissão e cobrança.</w:t>
      </w:r>
    </w:p>
    <w:p>
      <w:pPr>
        <w:pStyle w:val="FirstParagraph"/>
      </w:pPr>
      <w:r>
        <w:t xml:space="preserve">Eventos de auditoria devem registrar organização, ator, ação, alvo, timestamp, IP, user-agent, request ID e diferenças seguras.</w:t>
      </w:r>
    </w:p>
    <w:bookmarkEnd w:id="174"/>
    <w:bookmarkStart w:id="180" w:name="requisitos-não-funcionais"/>
    <w:p>
      <w:pPr>
        <w:pStyle w:val="Heading2"/>
      </w:pPr>
      <w:r>
        <w:rPr>
          <w:rFonts w:ascii="Calibri" w:hAnsi="Calibri"/>
          <w:b/>
          <w:color w:val="175D7B"/>
        </w:rPr>
        <w:t xml:space="preserve">17. Requisitos não funcionais</w:t>
      </w:r>
    </w:p>
    <w:bookmarkStart w:id="175" w:name="desempenho"/>
    <w:p>
      <w:pPr>
        <w:pStyle w:val="Heading3"/>
      </w:pPr>
      <w:r>
        <w:rPr>
          <w:rFonts w:ascii="Calibri" w:hAnsi="Calibri"/>
          <w:b/>
          <w:color w:val="0B1D2B"/>
        </w:rPr>
        <w:t xml:space="preserve">17.1 Desempenho</w:t>
      </w:r>
    </w:p>
    <w:p>
      <w:pPr>
        <w:numPr>
          <w:ilvl w:val="0"/>
          <w:numId w:val="1034"/>
        </w:numPr>
        <w:pStyle w:val="Compact"/>
      </w:pPr>
      <w:r>
        <w:t xml:space="preserve">páginas comuns: p95 abaixo de 2 segundos em carga nominal;</w:t>
      </w:r>
    </w:p>
    <w:p>
      <w:pPr>
        <w:numPr>
          <w:ilvl w:val="0"/>
          <w:numId w:val="1034"/>
        </w:numPr>
        <w:pStyle w:val="Compact"/>
      </w:pPr>
      <w:r>
        <w:t xml:space="preserve">APIs de lista: p95 abaixo de 800 ms sem exportação;</w:t>
      </w:r>
    </w:p>
    <w:p>
      <w:pPr>
        <w:numPr>
          <w:ilvl w:val="0"/>
          <w:numId w:val="1034"/>
        </w:numPr>
        <w:pStyle w:val="Compact"/>
      </w:pPr>
      <w:r>
        <w:t xml:space="preserve">dashboard com agregações/cache, sem N+1;</w:t>
      </w:r>
    </w:p>
    <w:p>
      <w:pPr>
        <w:numPr>
          <w:ilvl w:val="0"/>
          <w:numId w:val="1034"/>
        </w:numPr>
        <w:pStyle w:val="Compact"/>
      </w:pPr>
      <w:r>
        <w:t xml:space="preserve">aplicação de template com até 500 tarefas em job ou transação controlada;</w:t>
      </w:r>
    </w:p>
    <w:p>
      <w:pPr>
        <w:numPr>
          <w:ilvl w:val="0"/>
          <w:numId w:val="1034"/>
        </w:numPr>
        <w:pStyle w:val="Compact"/>
      </w:pPr>
      <w:r>
        <w:t xml:space="preserve">paginação obrigatória.</w:t>
      </w:r>
    </w:p>
    <w:bookmarkEnd w:id="175"/>
    <w:bookmarkStart w:id="176" w:name="disponibilidade"/>
    <w:p>
      <w:pPr>
        <w:pStyle w:val="Heading3"/>
      </w:pPr>
      <w:r>
        <w:rPr>
          <w:rFonts w:ascii="Calibri" w:hAnsi="Calibri"/>
          <w:b/>
          <w:color w:val="0B1D2B"/>
        </w:rPr>
        <w:t xml:space="preserve">17.2 Disponibilidade</w:t>
      </w:r>
    </w:p>
    <w:p>
      <w:pPr>
        <w:pStyle w:val="FirstParagraph"/>
      </w:pPr>
      <w:r>
        <w:t xml:space="preserve">Meta inicial de 99,5% mensal, health/readiness endpoints, deploy sem perda de migração e manutenção comunicada.</w:t>
      </w:r>
    </w:p>
    <w:bookmarkEnd w:id="176"/>
    <w:bookmarkStart w:id="177" w:name="compatibilidade-e-acessibilidade"/>
    <w:p>
      <w:pPr>
        <w:pStyle w:val="Heading3"/>
      </w:pPr>
      <w:r>
        <w:rPr>
          <w:rFonts w:ascii="Calibri" w:hAnsi="Calibri"/>
          <w:b/>
          <w:color w:val="0B1D2B"/>
        </w:rPr>
        <w:t xml:space="preserve">17.3 Compatibilidade e acessibilidade</w:t>
      </w:r>
    </w:p>
    <w:p>
      <w:pPr>
        <w:pStyle w:val="FirstParagraph"/>
      </w:pPr>
      <w:r>
        <w:t xml:space="preserve">Desktop responsivo e celular funcional; navegadores atuais; WCAG 2.1 AA como meta; navegação por teclado, foco, contraste e rótulos.</w:t>
      </w:r>
    </w:p>
    <w:bookmarkEnd w:id="177"/>
    <w:bookmarkStart w:id="178" w:name="observabilidade"/>
    <w:p>
      <w:pPr>
        <w:pStyle w:val="Heading3"/>
      </w:pPr>
      <w:r>
        <w:rPr>
          <w:rFonts w:ascii="Calibri" w:hAnsi="Calibri"/>
          <w:b/>
          <w:color w:val="0B1D2B"/>
        </w:rPr>
        <w:t xml:space="preserve">17.4 Observabilidade</w:t>
      </w:r>
    </w:p>
    <w:p>
      <w:pPr>
        <w:pStyle w:val="FirstParagraph"/>
      </w:pPr>
      <w:r>
        <w:t xml:space="preserve">Logs estruturados, request ID, métricas, erros centralizados, monitoramento de filas, webhooks, e-mails, storage, banco e uso de cotas.</w:t>
      </w:r>
    </w:p>
    <w:bookmarkEnd w:id="178"/>
    <w:bookmarkStart w:id="179" w:name="backup"/>
    <w:p>
      <w:pPr>
        <w:pStyle w:val="Heading3"/>
      </w:pPr>
      <w:r>
        <w:rPr>
          <w:rFonts w:ascii="Calibri" w:hAnsi="Calibri"/>
          <w:b/>
          <w:color w:val="0B1D2B"/>
        </w:rPr>
        <w:t xml:space="preserve">17.5 Backup</w:t>
      </w:r>
    </w:p>
    <w:p>
      <w:pPr>
        <w:pStyle w:val="FirstParagraph"/>
      </w:pPr>
      <w:r>
        <w:t xml:space="preserve">Backup diário, retenção mínima de 30 dias, RPO alvo de 24 horas e RTO alvo de 8 horas no MVP. Teste periódico de restauração.</w:t>
      </w:r>
    </w:p>
    <w:bookmarkEnd w:id="179"/>
    <w:bookmarkEnd w:id="180"/>
    <w:bookmarkStart w:id="181" w:name="experiência-e-padrões-de-interface"/>
    <w:p>
      <w:pPr>
        <w:pStyle w:val="Heading2"/>
      </w:pPr>
      <w:r>
        <w:rPr>
          <w:rFonts w:ascii="Calibri" w:hAnsi="Calibri"/>
          <w:b/>
          <w:color w:val="175D7B"/>
        </w:rPr>
        <w:t xml:space="preserve">18. Experiência e padrões de interface</w:t>
      </w:r>
    </w:p>
    <w:p>
      <w:pPr>
        <w:numPr>
          <w:ilvl w:val="0"/>
          <w:numId w:val="1035"/>
        </w:numPr>
        <w:pStyle w:val="Compact"/>
      </w:pPr>
      <w:r>
        <w:t xml:space="preserve">interface em português do Brasil;</w:t>
      </w:r>
    </w:p>
    <w:p>
      <w:pPr>
        <w:numPr>
          <w:ilvl w:val="0"/>
          <w:numId w:val="1035"/>
        </w:numPr>
        <w:pStyle w:val="Compact"/>
      </w:pPr>
      <w:r>
        <w:t xml:space="preserve">datas</w:t>
      </w:r>
      <w:r>
        <w:t xml:space="preserve"> </w:t>
      </w:r>
      <w:r>
        <w:rPr>
          <w:rStyle w:val="VerbatimChar"/>
        </w:rPr>
        <w:t xml:space="preserve">dd/mm/aaaa</w:t>
      </w:r>
      <w:r>
        <w:t xml:space="preserve">;</w:t>
      </w:r>
    </w:p>
    <w:p>
      <w:pPr>
        <w:numPr>
          <w:ilvl w:val="0"/>
          <w:numId w:val="1035"/>
        </w:numPr>
        <w:pStyle w:val="Compact"/>
      </w:pPr>
      <w:r>
        <w:t xml:space="preserve">moeda BRL;</w:t>
      </w:r>
    </w:p>
    <w:p>
      <w:pPr>
        <w:numPr>
          <w:ilvl w:val="0"/>
          <w:numId w:val="1035"/>
        </w:numPr>
        <w:pStyle w:val="Compact"/>
      </w:pPr>
      <w:r>
        <w:t xml:space="preserve">estados vazios com próximo passo;</w:t>
      </w:r>
    </w:p>
    <w:p>
      <w:pPr>
        <w:numPr>
          <w:ilvl w:val="0"/>
          <w:numId w:val="1035"/>
        </w:numPr>
        <w:pStyle w:val="Compact"/>
      </w:pPr>
      <w:r>
        <w:t xml:space="preserve">ações destrutivas confirmadas;</w:t>
      </w:r>
    </w:p>
    <w:p>
      <w:pPr>
        <w:numPr>
          <w:ilvl w:val="0"/>
          <w:numId w:val="1035"/>
        </w:numPr>
        <w:pStyle w:val="Compact"/>
      </w:pPr>
      <w:r>
        <w:t xml:space="preserve">autosave no editor com indicador;</w:t>
      </w:r>
    </w:p>
    <w:p>
      <w:pPr>
        <w:numPr>
          <w:ilvl w:val="0"/>
          <w:numId w:val="1035"/>
        </w:numPr>
        <w:pStyle w:val="Compact"/>
      </w:pPr>
      <w:r>
        <w:t xml:space="preserve">feedback de carregamento e erro;</w:t>
      </w:r>
    </w:p>
    <w:p>
      <w:pPr>
        <w:numPr>
          <w:ilvl w:val="0"/>
          <w:numId w:val="1035"/>
        </w:numPr>
        <w:pStyle w:val="Compact"/>
      </w:pPr>
      <w:r>
        <w:t xml:space="preserve">tabelas com filtros preservados;</w:t>
      </w:r>
    </w:p>
    <w:p>
      <w:pPr>
        <w:numPr>
          <w:ilvl w:val="0"/>
          <w:numId w:val="1035"/>
        </w:numPr>
        <w:pStyle w:val="Compact"/>
      </w:pPr>
      <w:r>
        <w:t xml:space="preserve">atalhos</w:t>
      </w:r>
      <w:r>
        <w:t xml:space="preserve"> </w:t>
      </w:r>
      <w:r>
        <w:t xml:space="preserve">“</w:t>
      </w:r>
      <w:r>
        <w:t xml:space="preserve">Novo cliente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Aplicar template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Nova tarefa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Solicitar documento</w:t>
      </w:r>
      <w:r>
        <w:t xml:space="preserve">”</w:t>
      </w:r>
      <w:r>
        <w:t xml:space="preserve">;</w:t>
      </w:r>
    </w:p>
    <w:p>
      <w:pPr>
        <w:numPr>
          <w:ilvl w:val="0"/>
          <w:numId w:val="1035"/>
        </w:numPr>
        <w:pStyle w:val="Compact"/>
      </w:pPr>
      <w:r>
        <w:t xml:space="preserve">cores nunca como único indicador;</w:t>
      </w:r>
    </w:p>
    <w:p>
      <w:pPr>
        <w:numPr>
          <w:ilvl w:val="0"/>
          <w:numId w:val="1035"/>
        </w:numPr>
        <w:pStyle w:val="Compact"/>
      </w:pPr>
      <w:r>
        <w:t xml:space="preserve">ajuda contextual explicando que templates são definidos pelo escritório.</w:t>
      </w:r>
    </w:p>
    <w:bookmarkEnd w:id="181"/>
    <w:bookmarkStart w:id="185" w:name="métricas-de-produto"/>
    <w:p>
      <w:pPr>
        <w:pStyle w:val="Heading2"/>
      </w:pPr>
      <w:r>
        <w:rPr>
          <w:rFonts w:ascii="Calibri" w:hAnsi="Calibri"/>
          <w:b/>
          <w:color w:val="175D7B"/>
        </w:rPr>
        <w:t xml:space="preserve">19. Métricas de produto</w:t>
      </w:r>
    </w:p>
    <w:bookmarkStart w:id="182" w:name="ativação"/>
    <w:p>
      <w:pPr>
        <w:pStyle w:val="Heading3"/>
      </w:pPr>
      <w:r>
        <w:rPr>
          <w:rFonts w:ascii="Calibri" w:hAnsi="Calibri"/>
          <w:b/>
          <w:color w:val="0B1D2B"/>
        </w:rPr>
        <w:t xml:space="preserve">19.1 Ativação</w:t>
      </w:r>
    </w:p>
    <w:p>
      <w:pPr>
        <w:pStyle w:val="FirstParagraph"/>
      </w:pPr>
      <w:r>
        <w:t xml:space="preserve">Organização ativa quando, em até sete dias:</w:t>
      </w:r>
    </w:p>
    <w:p>
      <w:pPr>
        <w:numPr>
          <w:ilvl w:val="0"/>
          <w:numId w:val="1036"/>
        </w:numPr>
        <w:pStyle w:val="Compact"/>
      </w:pPr>
      <w:r>
        <w:t xml:space="preserve">cadastrou ou importou ao menos cinco clientes;</w:t>
      </w:r>
    </w:p>
    <w:p>
      <w:pPr>
        <w:numPr>
          <w:ilvl w:val="0"/>
          <w:numId w:val="1036"/>
        </w:numPr>
        <w:pStyle w:val="Compact"/>
      </w:pPr>
      <w:r>
        <w:t xml:space="preserve">criou/convidou dois usuários;</w:t>
      </w:r>
    </w:p>
    <w:p>
      <w:pPr>
        <w:numPr>
          <w:ilvl w:val="0"/>
          <w:numId w:val="1036"/>
        </w:numPr>
        <w:pStyle w:val="Compact"/>
      </w:pPr>
      <w:r>
        <w:t xml:space="preserve">publicou ou copiou um template;</w:t>
      </w:r>
    </w:p>
    <w:p>
      <w:pPr>
        <w:numPr>
          <w:ilvl w:val="0"/>
          <w:numId w:val="1036"/>
        </w:numPr>
        <w:pStyle w:val="Compact"/>
      </w:pPr>
      <w:r>
        <w:t xml:space="preserve">aplicou template;</w:t>
      </w:r>
    </w:p>
    <w:p>
      <w:pPr>
        <w:numPr>
          <w:ilvl w:val="0"/>
          <w:numId w:val="1036"/>
        </w:numPr>
        <w:pStyle w:val="Compact"/>
      </w:pPr>
      <w:r>
        <w:t xml:space="preserve">concluiu ao menos uma tarefa.</w:t>
      </w:r>
    </w:p>
    <w:bookmarkEnd w:id="182"/>
    <w:bookmarkStart w:id="183" w:name="retenção"/>
    <w:p>
      <w:pPr>
        <w:pStyle w:val="Heading3"/>
      </w:pPr>
      <w:r>
        <w:rPr>
          <w:rFonts w:ascii="Calibri" w:hAnsi="Calibri"/>
          <w:b/>
          <w:color w:val="0B1D2B"/>
        </w:rPr>
        <w:t xml:space="preserve">19.2 Retenção</w:t>
      </w:r>
    </w:p>
    <w:p>
      <w:pPr>
        <w:numPr>
          <w:ilvl w:val="0"/>
          <w:numId w:val="1037"/>
        </w:numPr>
        <w:pStyle w:val="Compact"/>
      </w:pPr>
      <w:r>
        <w:t xml:space="preserve">organizações ativas semanalmente;</w:t>
      </w:r>
    </w:p>
    <w:p>
      <w:pPr>
        <w:numPr>
          <w:ilvl w:val="0"/>
          <w:numId w:val="1037"/>
        </w:numPr>
        <w:pStyle w:val="Compact"/>
      </w:pPr>
      <w:r>
        <w:t xml:space="preserve">tarefas concluídas;</w:t>
      </w:r>
    </w:p>
    <w:p>
      <w:pPr>
        <w:numPr>
          <w:ilvl w:val="0"/>
          <w:numId w:val="1037"/>
        </w:numPr>
        <w:pStyle w:val="Compact"/>
      </w:pPr>
      <w:r>
        <w:t xml:space="preserve">templates aplicados;</w:t>
      </w:r>
    </w:p>
    <w:p>
      <w:pPr>
        <w:numPr>
          <w:ilvl w:val="0"/>
          <w:numId w:val="1037"/>
        </w:numPr>
        <w:pStyle w:val="Compact"/>
      </w:pPr>
      <w:r>
        <w:t xml:space="preserve">clientes com rotinas;</w:t>
      </w:r>
    </w:p>
    <w:p>
      <w:pPr>
        <w:numPr>
          <w:ilvl w:val="0"/>
          <w:numId w:val="1037"/>
        </w:numPr>
        <w:pStyle w:val="Compact"/>
      </w:pPr>
      <w:r>
        <w:t xml:space="preserve">documentos recebidos pelo portal;</w:t>
      </w:r>
    </w:p>
    <w:p>
      <w:pPr>
        <w:numPr>
          <w:ilvl w:val="0"/>
          <w:numId w:val="1037"/>
        </w:numPr>
        <w:pStyle w:val="Compact"/>
      </w:pPr>
      <w:r>
        <w:t xml:space="preserve">usuários ativos por organização;</w:t>
      </w:r>
    </w:p>
    <w:p>
      <w:pPr>
        <w:numPr>
          <w:ilvl w:val="0"/>
          <w:numId w:val="1037"/>
        </w:numPr>
        <w:pStyle w:val="Compact"/>
      </w:pPr>
      <w:r>
        <w:t xml:space="preserve">churn e motivo.</w:t>
      </w:r>
    </w:p>
    <w:bookmarkEnd w:id="183"/>
    <w:bookmarkStart w:id="184" w:name="valor"/>
    <w:p>
      <w:pPr>
        <w:pStyle w:val="Heading3"/>
      </w:pPr>
      <w:r>
        <w:rPr>
          <w:rFonts w:ascii="Calibri" w:hAnsi="Calibri"/>
          <w:b/>
          <w:color w:val="0B1D2B"/>
        </w:rPr>
        <w:t xml:space="preserve">19.3 Valor</w:t>
      </w:r>
    </w:p>
    <w:p>
      <w:pPr>
        <w:numPr>
          <w:ilvl w:val="0"/>
          <w:numId w:val="1038"/>
        </w:numPr>
        <w:pStyle w:val="Compact"/>
      </w:pPr>
      <w:r>
        <w:t xml:space="preserve">tempo até primeira aplicação;</w:t>
      </w:r>
    </w:p>
    <w:p>
      <w:pPr>
        <w:numPr>
          <w:ilvl w:val="0"/>
          <w:numId w:val="1038"/>
        </w:numPr>
        <w:pStyle w:val="Compact"/>
      </w:pPr>
      <w:r>
        <w:t xml:space="preserve">tempo para estruturar cliente;</w:t>
      </w:r>
    </w:p>
    <w:p>
      <w:pPr>
        <w:numPr>
          <w:ilvl w:val="0"/>
          <w:numId w:val="1038"/>
        </w:numPr>
        <w:pStyle w:val="Compact"/>
      </w:pPr>
      <w:r>
        <w:t xml:space="preserve">percentual de tarefas no prazo;</w:t>
      </w:r>
    </w:p>
    <w:p>
      <w:pPr>
        <w:numPr>
          <w:ilvl w:val="0"/>
          <w:numId w:val="1038"/>
        </w:numPr>
        <w:pStyle w:val="Compact"/>
      </w:pPr>
      <w:r>
        <w:t xml:space="preserve">redução de pendências;</w:t>
      </w:r>
    </w:p>
    <w:p>
      <w:pPr>
        <w:numPr>
          <w:ilvl w:val="0"/>
          <w:numId w:val="1038"/>
        </w:numPr>
        <w:pStyle w:val="Compact"/>
      </w:pPr>
      <w:r>
        <w:t xml:space="preserve">adesão ao portal.</w:t>
      </w:r>
    </w:p>
    <w:bookmarkEnd w:id="184"/>
    <w:bookmarkEnd w:id="185"/>
    <w:bookmarkStart w:id="195" w:name="critérios-de-aceite-por-épico"/>
    <w:p>
      <w:pPr>
        <w:pStyle w:val="Heading2"/>
      </w:pPr>
      <w:r>
        <w:rPr>
          <w:rFonts w:ascii="Calibri" w:hAnsi="Calibri"/>
          <w:b/>
          <w:color w:val="175D7B"/>
        </w:rPr>
        <w:t xml:space="preserve">20. Critérios de aceite por épico</w:t>
      </w:r>
    </w:p>
    <w:bookmarkStart w:id="186" w:name="fundação"/>
    <w:p>
      <w:pPr>
        <w:pStyle w:val="Heading3"/>
      </w:pPr>
      <w:r>
        <w:rPr>
          <w:rFonts w:ascii="Calibri" w:hAnsi="Calibri"/>
          <w:b/>
          <w:color w:val="0B1D2B"/>
        </w:rPr>
        <w:t xml:space="preserve">Fundação</w:t>
      </w:r>
    </w:p>
    <w:p>
      <w:pPr>
        <w:numPr>
          <w:ilvl w:val="0"/>
          <w:numId w:val="1039"/>
        </w:numPr>
        <w:pStyle w:val="Compact"/>
      </w:pPr>
      <w:r>
        <w:t xml:space="preserve">clone obrigatório executado;</w:t>
      </w:r>
    </w:p>
    <w:p>
      <w:pPr>
        <w:numPr>
          <w:ilvl w:val="0"/>
          <w:numId w:val="1039"/>
        </w:numPr>
        <w:pStyle w:val="Compact"/>
      </w:pPr>
      <w:r>
        <w:t xml:space="preserve">testes originais permanecem verdes;</w:t>
      </w:r>
    </w:p>
    <w:p>
      <w:pPr>
        <w:numPr>
          <w:ilvl w:val="0"/>
          <w:numId w:val="1039"/>
        </w:numPr>
        <w:pStyle w:val="Compact"/>
      </w:pPr>
      <w:r>
        <w:t xml:space="preserve">novo domínio segue arquitetura do Core;</w:t>
      </w:r>
    </w:p>
    <w:p>
      <w:pPr>
        <w:numPr>
          <w:ilvl w:val="0"/>
          <w:numId w:val="1039"/>
        </w:numPr>
        <w:pStyle w:val="Compact"/>
      </w:pPr>
      <w:r>
        <w:t xml:space="preserve">isolamento de tenant coberto por testes.</w:t>
      </w:r>
    </w:p>
    <w:bookmarkEnd w:id="186"/>
    <w:bookmarkStart w:id="187" w:name="clientes"/>
    <w:p>
      <w:pPr>
        <w:pStyle w:val="Heading3"/>
      </w:pPr>
      <w:r>
        <w:rPr>
          <w:rFonts w:ascii="Calibri" w:hAnsi="Calibri"/>
          <w:b/>
          <w:color w:val="0B1D2B"/>
        </w:rPr>
        <w:t xml:space="preserve">Clientes</w:t>
      </w:r>
    </w:p>
    <w:p>
      <w:pPr>
        <w:numPr>
          <w:ilvl w:val="0"/>
          <w:numId w:val="1040"/>
        </w:numPr>
        <w:pStyle w:val="Compact"/>
      </w:pPr>
      <w:r>
        <w:t xml:space="preserve">CRUD, importação, arquivamento e perfil funcionam;</w:t>
      </w:r>
    </w:p>
    <w:p>
      <w:pPr>
        <w:numPr>
          <w:ilvl w:val="0"/>
          <w:numId w:val="1040"/>
        </w:numPr>
        <w:pStyle w:val="Compact"/>
      </w:pPr>
      <w:r>
        <w:t xml:space="preserve">CNPJ e cotas validados;</w:t>
      </w:r>
    </w:p>
    <w:p>
      <w:pPr>
        <w:numPr>
          <w:ilvl w:val="0"/>
          <w:numId w:val="1040"/>
        </w:numPr>
        <w:pStyle w:val="Compact"/>
      </w:pPr>
      <w:r>
        <w:t xml:space="preserve">nenhuma organização acessa cliente de outra.</w:t>
      </w:r>
    </w:p>
    <w:bookmarkEnd w:id="187"/>
    <w:bookmarkStart w:id="188" w:name="templates"/>
    <w:p>
      <w:pPr>
        <w:pStyle w:val="Heading3"/>
      </w:pPr>
      <w:r>
        <w:rPr>
          <w:rFonts w:ascii="Calibri" w:hAnsi="Calibri"/>
          <w:b/>
          <w:color w:val="0B1D2B"/>
        </w:rPr>
        <w:t xml:space="preserve">Templates</w:t>
      </w:r>
    </w:p>
    <w:p>
      <w:pPr>
        <w:numPr>
          <w:ilvl w:val="0"/>
          <w:numId w:val="1041"/>
        </w:numPr>
        <w:pStyle w:val="Compact"/>
      </w:pPr>
      <w:r>
        <w:t xml:space="preserve">editor cria estrutura completa;</w:t>
      </w:r>
    </w:p>
    <w:p>
      <w:pPr>
        <w:numPr>
          <w:ilvl w:val="0"/>
          <w:numId w:val="1041"/>
        </w:numPr>
        <w:pStyle w:val="Compact"/>
      </w:pPr>
      <w:r>
        <w:t xml:space="preserve">publicação gera versão imutável;</w:t>
      </w:r>
    </w:p>
    <w:p>
      <w:pPr>
        <w:numPr>
          <w:ilvl w:val="0"/>
          <w:numId w:val="1041"/>
        </w:numPr>
        <w:pStyle w:val="Compact"/>
      </w:pPr>
      <w:r>
        <w:t xml:space="preserve">simulação calcula datas;</w:t>
      </w:r>
    </w:p>
    <w:p>
      <w:pPr>
        <w:numPr>
          <w:ilvl w:val="0"/>
          <w:numId w:val="1041"/>
        </w:numPr>
        <w:pStyle w:val="Compact"/>
      </w:pPr>
      <w:r>
        <w:t xml:space="preserve">aplicação é atômica e auditada;</w:t>
      </w:r>
    </w:p>
    <w:p>
      <w:pPr>
        <w:numPr>
          <w:ilvl w:val="0"/>
          <w:numId w:val="1041"/>
        </w:numPr>
        <w:pStyle w:val="Compact"/>
      </w:pPr>
      <w:r>
        <w:t xml:space="preserve">versões antigas continuam funcionais.</w:t>
      </w:r>
    </w:p>
    <w:bookmarkEnd w:id="188"/>
    <w:bookmarkStart w:id="189" w:name="tarefas-1"/>
    <w:p>
      <w:pPr>
        <w:pStyle w:val="Heading3"/>
      </w:pPr>
      <w:r>
        <w:rPr>
          <w:rFonts w:ascii="Calibri" w:hAnsi="Calibri"/>
          <w:b/>
          <w:color w:val="0B1D2B"/>
        </w:rPr>
        <w:t xml:space="preserve">Tarefas</w:t>
      </w:r>
    </w:p>
    <w:p>
      <w:pPr>
        <w:numPr>
          <w:ilvl w:val="0"/>
          <w:numId w:val="1042"/>
        </w:numPr>
        <w:pStyle w:val="Compact"/>
      </w:pPr>
      <w:r>
        <w:t xml:space="preserve">estados e bloqueios respeitados;</w:t>
      </w:r>
    </w:p>
    <w:p>
      <w:pPr>
        <w:numPr>
          <w:ilvl w:val="0"/>
          <w:numId w:val="1042"/>
        </w:numPr>
        <w:pStyle w:val="Compact"/>
      </w:pPr>
      <w:r>
        <w:t xml:space="preserve">recorrência não duplica ocorrências;</w:t>
      </w:r>
    </w:p>
    <w:p>
      <w:pPr>
        <w:numPr>
          <w:ilvl w:val="0"/>
          <w:numId w:val="1042"/>
        </w:numPr>
        <w:pStyle w:val="Compact"/>
      </w:pPr>
      <w:r>
        <w:t xml:space="preserve">checklists/documentos obrigatórios bloqueiam conclusão;</w:t>
      </w:r>
    </w:p>
    <w:p>
      <w:pPr>
        <w:numPr>
          <w:ilvl w:val="0"/>
          <w:numId w:val="1042"/>
        </w:numPr>
        <w:pStyle w:val="Compact"/>
      </w:pPr>
      <w:r>
        <w:t xml:space="preserve">filtros, lote e histórico funcionam.</w:t>
      </w:r>
    </w:p>
    <w:bookmarkEnd w:id="189"/>
    <w:bookmarkStart w:id="190" w:name="documentos-1"/>
    <w:p>
      <w:pPr>
        <w:pStyle w:val="Heading3"/>
      </w:pPr>
      <w:r>
        <w:rPr>
          <w:rFonts w:ascii="Calibri" w:hAnsi="Calibri"/>
          <w:b/>
          <w:color w:val="0B1D2B"/>
        </w:rPr>
        <w:t xml:space="preserve">Documentos</w:t>
      </w:r>
    </w:p>
    <w:p>
      <w:pPr>
        <w:numPr>
          <w:ilvl w:val="0"/>
          <w:numId w:val="1043"/>
        </w:numPr>
        <w:pStyle w:val="Compact"/>
      </w:pPr>
      <w:r>
        <w:t xml:space="preserve">upload privado e versionado;</w:t>
      </w:r>
    </w:p>
    <w:p>
      <w:pPr>
        <w:numPr>
          <w:ilvl w:val="0"/>
          <w:numId w:val="1043"/>
        </w:numPr>
        <w:pStyle w:val="Compact"/>
      </w:pPr>
      <w:r>
        <w:t xml:space="preserve">solicitação, aprovação e rejeição notificam corretamente;</w:t>
      </w:r>
    </w:p>
    <w:p>
      <w:pPr>
        <w:numPr>
          <w:ilvl w:val="0"/>
          <w:numId w:val="1043"/>
        </w:numPr>
        <w:pStyle w:val="Compact"/>
      </w:pPr>
      <w:r>
        <w:t xml:space="preserve">acesso respeita tenant e portal.</w:t>
      </w:r>
    </w:p>
    <w:bookmarkEnd w:id="190"/>
    <w:bookmarkStart w:id="191" w:name="calendário-1"/>
    <w:p>
      <w:pPr>
        <w:pStyle w:val="Heading3"/>
      </w:pPr>
      <w:r>
        <w:rPr>
          <w:rFonts w:ascii="Calibri" w:hAnsi="Calibri"/>
          <w:b/>
          <w:color w:val="0B1D2B"/>
        </w:rPr>
        <w:t xml:space="preserve">Calendário</w:t>
      </w:r>
    </w:p>
    <w:p>
      <w:pPr>
        <w:numPr>
          <w:ilvl w:val="0"/>
          <w:numId w:val="1044"/>
        </w:numPr>
        <w:pStyle w:val="Compact"/>
      </w:pPr>
      <w:r>
        <w:t xml:space="preserve">visualizações e filtros corretos;</w:t>
      </w:r>
    </w:p>
    <w:p>
      <w:pPr>
        <w:numPr>
          <w:ilvl w:val="0"/>
          <w:numId w:val="1044"/>
        </w:numPr>
        <w:pStyle w:val="Compact"/>
      </w:pPr>
      <w:r>
        <w:t xml:space="preserve">fuso e dia útil respeitados;</w:t>
      </w:r>
    </w:p>
    <w:p>
      <w:pPr>
        <w:numPr>
          <w:ilvl w:val="0"/>
          <w:numId w:val="1044"/>
        </w:numPr>
        <w:pStyle w:val="Compact"/>
      </w:pPr>
      <w:r>
        <w:t xml:space="preserve">mudança recorrente não corrompe histórico.</w:t>
      </w:r>
    </w:p>
    <w:bookmarkEnd w:id="191"/>
    <w:bookmarkStart w:id="192" w:name="portal"/>
    <w:p>
      <w:pPr>
        <w:pStyle w:val="Heading3"/>
      </w:pPr>
      <w:r>
        <w:rPr>
          <w:rFonts w:ascii="Calibri" w:hAnsi="Calibri"/>
          <w:b/>
          <w:color w:val="0B1D2B"/>
        </w:rPr>
        <w:t xml:space="preserve">Portal</w:t>
      </w:r>
    </w:p>
    <w:p>
      <w:pPr>
        <w:numPr>
          <w:ilvl w:val="0"/>
          <w:numId w:val="1045"/>
        </w:numPr>
        <w:pStyle w:val="Compact"/>
      </w:pPr>
      <w:r>
        <w:t xml:space="preserve">cliente vê somente dados liberados;</w:t>
      </w:r>
    </w:p>
    <w:p>
      <w:pPr>
        <w:numPr>
          <w:ilvl w:val="0"/>
          <w:numId w:val="1045"/>
        </w:numPr>
        <w:pStyle w:val="Compact"/>
      </w:pPr>
      <w:r>
        <w:t xml:space="preserve">upload e comentários funcionam;</w:t>
      </w:r>
    </w:p>
    <w:p>
      <w:pPr>
        <w:numPr>
          <w:ilvl w:val="0"/>
          <w:numId w:val="1045"/>
        </w:numPr>
        <w:pStyle w:val="Compact"/>
      </w:pPr>
      <w:r>
        <w:t xml:space="preserve">revogação corta acesso imediatamente.</w:t>
      </w:r>
    </w:p>
    <w:bookmarkEnd w:id="192"/>
    <w:bookmarkStart w:id="193" w:name="billing"/>
    <w:p>
      <w:pPr>
        <w:pStyle w:val="Heading3"/>
      </w:pPr>
      <w:r>
        <w:rPr>
          <w:rFonts w:ascii="Calibri" w:hAnsi="Calibri"/>
          <w:b/>
          <w:color w:val="0B1D2B"/>
        </w:rPr>
        <w:t xml:space="preserve">Billing</w:t>
      </w:r>
    </w:p>
    <w:p>
      <w:pPr>
        <w:numPr>
          <w:ilvl w:val="0"/>
          <w:numId w:val="1046"/>
        </w:numPr>
        <w:pStyle w:val="Compact"/>
      </w:pPr>
      <w:r>
        <w:t xml:space="preserve">checkout, webhook, upgrade, downgrade, falha e cancelamento testados;</w:t>
      </w:r>
    </w:p>
    <w:p>
      <w:pPr>
        <w:numPr>
          <w:ilvl w:val="0"/>
          <w:numId w:val="1046"/>
        </w:numPr>
        <w:pStyle w:val="Compact"/>
      </w:pPr>
      <w:r>
        <w:t xml:space="preserve">cotas aplicadas sem perda de dados;</w:t>
      </w:r>
    </w:p>
    <w:p>
      <w:pPr>
        <w:numPr>
          <w:ilvl w:val="0"/>
          <w:numId w:val="1046"/>
        </w:numPr>
        <w:pStyle w:val="Compact"/>
      </w:pPr>
      <w:r>
        <w:t xml:space="preserve">eventos duplicados não duplicam efeitos.</w:t>
      </w:r>
    </w:p>
    <w:bookmarkEnd w:id="193"/>
    <w:bookmarkStart w:id="194" w:name="notificações-1"/>
    <w:p>
      <w:pPr>
        <w:pStyle w:val="Heading3"/>
      </w:pPr>
      <w:r>
        <w:rPr>
          <w:rFonts w:ascii="Calibri" w:hAnsi="Calibri"/>
          <w:b/>
          <w:color w:val="0B1D2B"/>
        </w:rPr>
        <w:t xml:space="preserve">Notificações</w:t>
      </w:r>
    </w:p>
    <w:p>
      <w:pPr>
        <w:numPr>
          <w:ilvl w:val="0"/>
          <w:numId w:val="1047"/>
        </w:numPr>
        <w:pStyle w:val="Compact"/>
      </w:pPr>
      <w:r>
        <w:t xml:space="preserve">templates renderizam;</w:t>
      </w:r>
    </w:p>
    <w:p>
      <w:pPr>
        <w:numPr>
          <w:ilvl w:val="0"/>
          <w:numId w:val="1047"/>
        </w:numPr>
        <w:pStyle w:val="Compact"/>
      </w:pPr>
      <w:r>
        <w:t xml:space="preserve">preferências e janela silenciosa respeitadas;</w:t>
      </w:r>
    </w:p>
    <w:p>
      <w:pPr>
        <w:numPr>
          <w:ilvl w:val="0"/>
          <w:numId w:val="1047"/>
        </w:numPr>
        <w:pStyle w:val="Compact"/>
      </w:pPr>
      <w:r>
        <w:t xml:space="preserve">não há duplicação;</w:t>
      </w:r>
    </w:p>
    <w:p>
      <w:pPr>
        <w:numPr>
          <w:ilvl w:val="0"/>
          <w:numId w:val="1047"/>
        </w:numPr>
        <w:pStyle w:val="Compact"/>
      </w:pPr>
      <w:r>
        <w:t xml:space="preserve">logs e reprocessamento disponíveis.</w:t>
      </w:r>
    </w:p>
    <w:bookmarkEnd w:id="194"/>
    <w:bookmarkEnd w:id="195"/>
    <w:bookmarkStart w:id="196" w:name="estratégia-de-testes"/>
    <w:p>
      <w:pPr>
        <w:pStyle w:val="Heading2"/>
      </w:pPr>
      <w:r>
        <w:rPr>
          <w:rFonts w:ascii="Calibri" w:hAnsi="Calibri"/>
          <w:b/>
          <w:color w:val="175D7B"/>
        </w:rPr>
        <w:t xml:space="preserve">21. Estratégia de testes</w:t>
      </w:r>
    </w:p>
    <w:p>
      <w:pPr>
        <w:numPr>
          <w:ilvl w:val="0"/>
          <w:numId w:val="1048"/>
        </w:numPr>
        <w:pStyle w:val="Compact"/>
      </w:pPr>
      <w:r>
        <w:t xml:space="preserve">unitários para serviços e regras de datas;</w:t>
      </w:r>
    </w:p>
    <w:p>
      <w:pPr>
        <w:numPr>
          <w:ilvl w:val="0"/>
          <w:numId w:val="1048"/>
        </w:numPr>
        <w:pStyle w:val="Compact"/>
      </w:pPr>
      <w:r>
        <w:t xml:space="preserve">integração para banco, storage, Stripe e Celery;</w:t>
      </w:r>
    </w:p>
    <w:p>
      <w:pPr>
        <w:numPr>
          <w:ilvl w:val="0"/>
          <w:numId w:val="1048"/>
        </w:numPr>
        <w:pStyle w:val="Compact"/>
      </w:pPr>
      <w:r>
        <w:t xml:space="preserve">autorização para cada papel;</w:t>
      </w:r>
    </w:p>
    <w:p>
      <w:pPr>
        <w:numPr>
          <w:ilvl w:val="0"/>
          <w:numId w:val="1048"/>
        </w:numPr>
        <w:pStyle w:val="Compact"/>
      </w:pPr>
      <w:r>
        <w:t xml:space="preserve">testes de isolamento multitenant;</w:t>
      </w:r>
    </w:p>
    <w:p>
      <w:pPr>
        <w:numPr>
          <w:ilvl w:val="0"/>
          <w:numId w:val="1048"/>
        </w:numPr>
        <w:pStyle w:val="Compact"/>
      </w:pPr>
      <w:r>
        <w:t xml:space="preserve">propriedade para recorrências e datas;</w:t>
      </w:r>
    </w:p>
    <w:p>
      <w:pPr>
        <w:numPr>
          <w:ilvl w:val="0"/>
          <w:numId w:val="1048"/>
        </w:numPr>
        <w:pStyle w:val="Compact"/>
      </w:pPr>
      <w:r>
        <w:t xml:space="preserve">E2E para contratação, onboarding, template, cliente, execução, portal e cancelamento;</w:t>
      </w:r>
    </w:p>
    <w:p>
      <w:pPr>
        <w:numPr>
          <w:ilvl w:val="0"/>
          <w:numId w:val="1048"/>
        </w:numPr>
        <w:pStyle w:val="Compact"/>
      </w:pPr>
      <w:r>
        <w:t xml:space="preserve">contrato de API/OpenAPI;</w:t>
      </w:r>
    </w:p>
    <w:p>
      <w:pPr>
        <w:numPr>
          <w:ilvl w:val="0"/>
          <w:numId w:val="1048"/>
        </w:numPr>
        <w:pStyle w:val="Compact"/>
      </w:pPr>
      <w:r>
        <w:t xml:space="preserve">acessibilidade automatizada e revisão manual;</w:t>
      </w:r>
    </w:p>
    <w:p>
      <w:pPr>
        <w:numPr>
          <w:ilvl w:val="0"/>
          <w:numId w:val="1048"/>
        </w:numPr>
        <w:pStyle w:val="Compact"/>
      </w:pPr>
      <w:r>
        <w:t xml:space="preserve">carga em dashboard, listas, aplicação de template e jobs;</w:t>
      </w:r>
    </w:p>
    <w:p>
      <w:pPr>
        <w:numPr>
          <w:ilvl w:val="0"/>
          <w:numId w:val="1048"/>
        </w:numPr>
        <w:pStyle w:val="Compact"/>
      </w:pPr>
      <w:r>
        <w:t xml:space="preserve">segurança de upload, IDs, sessões e webhooks;</w:t>
      </w:r>
    </w:p>
    <w:p>
      <w:pPr>
        <w:numPr>
          <w:ilvl w:val="0"/>
          <w:numId w:val="1048"/>
        </w:numPr>
        <w:pStyle w:val="Compact"/>
      </w:pPr>
      <w:r>
        <w:t xml:space="preserve">migrações reversíveis quando possível.</w:t>
      </w:r>
    </w:p>
    <w:p>
      <w:pPr>
        <w:pStyle w:val="FirstParagraph"/>
      </w:pPr>
      <w:r>
        <w:t xml:space="preserve">Cobertura não substitui cenários; fluxos críticos devem ter testes explícitos.</w:t>
      </w:r>
    </w:p>
    <w:bookmarkEnd w:id="196"/>
    <w:bookmarkStart w:id="200" w:name="implantação"/>
    <w:p>
      <w:pPr>
        <w:pStyle w:val="Heading2"/>
      </w:pPr>
      <w:r>
        <w:rPr>
          <w:rFonts w:ascii="Calibri" w:hAnsi="Calibri"/>
          <w:b/>
          <w:color w:val="175D7B"/>
        </w:rPr>
        <w:t xml:space="preserve">22. Implantação</w:t>
      </w:r>
    </w:p>
    <w:bookmarkStart w:id="197" w:name="ambientes"/>
    <w:p>
      <w:pPr>
        <w:pStyle w:val="Heading3"/>
      </w:pPr>
      <w:r>
        <w:rPr>
          <w:rFonts w:ascii="Calibri" w:hAnsi="Calibri"/>
          <w:b/>
          <w:color w:val="0B1D2B"/>
        </w:rPr>
        <w:t xml:space="preserve">22.1 Ambientes</w:t>
      </w:r>
    </w:p>
    <w:p>
      <w:pPr>
        <w:pStyle w:val="FirstParagraph"/>
      </w:pPr>
      <w:r>
        <w:t xml:space="preserve">Desenvolvimento, homologação e produção separados. Produção usa PostgreSQL, Redis, Celery worker/beat, storage privado, SMTP transacional, Stripe live e HTTPS.</w:t>
      </w:r>
    </w:p>
    <w:bookmarkEnd w:id="197"/>
    <w:bookmarkStart w:id="198" w:name="pipeline"/>
    <w:p>
      <w:pPr>
        <w:pStyle w:val="Heading3"/>
      </w:pPr>
      <w:r>
        <w:rPr>
          <w:rFonts w:ascii="Calibri" w:hAnsi="Calibri"/>
          <w:b/>
          <w:color w:val="0B1D2B"/>
        </w:rPr>
        <w:t xml:space="preserve">22.2 Pipeline</w:t>
      </w:r>
    </w:p>
    <w:p>
      <w:pPr>
        <w:numPr>
          <w:ilvl w:val="0"/>
          <w:numId w:val="1049"/>
        </w:numPr>
        <w:pStyle w:val="Compact"/>
      </w:pPr>
      <w:r>
        <w:t xml:space="preserve">lint e formatação;</w:t>
      </w:r>
    </w:p>
    <w:p>
      <w:pPr>
        <w:numPr>
          <w:ilvl w:val="0"/>
          <w:numId w:val="1049"/>
        </w:numPr>
        <w:pStyle w:val="Compact"/>
      </w:pPr>
      <w:r>
        <w:t xml:space="preserve">testes;</w:t>
      </w:r>
    </w:p>
    <w:p>
      <w:pPr>
        <w:numPr>
          <w:ilvl w:val="0"/>
          <w:numId w:val="1049"/>
        </w:numPr>
        <w:pStyle w:val="Compact"/>
      </w:pPr>
      <w:r>
        <w:t xml:space="preserve">verificação de migrações;</w:t>
      </w:r>
    </w:p>
    <w:p>
      <w:pPr>
        <w:numPr>
          <w:ilvl w:val="0"/>
          <w:numId w:val="1049"/>
        </w:numPr>
        <w:pStyle w:val="Compact"/>
      </w:pPr>
      <w:r>
        <w:t xml:space="preserve">build;</w:t>
      </w:r>
    </w:p>
    <w:p>
      <w:pPr>
        <w:numPr>
          <w:ilvl w:val="0"/>
          <w:numId w:val="1049"/>
        </w:numPr>
        <w:pStyle w:val="Compact"/>
      </w:pPr>
      <w:r>
        <w:t xml:space="preserve">deploy em homologação;</w:t>
      </w:r>
    </w:p>
    <w:p>
      <w:pPr>
        <w:numPr>
          <w:ilvl w:val="0"/>
          <w:numId w:val="1049"/>
        </w:numPr>
        <w:pStyle w:val="Compact"/>
      </w:pPr>
      <w:r>
        <w:t xml:space="preserve">smoke tests;</w:t>
      </w:r>
    </w:p>
    <w:p>
      <w:pPr>
        <w:numPr>
          <w:ilvl w:val="0"/>
          <w:numId w:val="1049"/>
        </w:numPr>
        <w:pStyle w:val="Compact"/>
      </w:pPr>
      <w:r>
        <w:t xml:space="preserve">aprovação;</w:t>
      </w:r>
    </w:p>
    <w:p>
      <w:pPr>
        <w:numPr>
          <w:ilvl w:val="0"/>
          <w:numId w:val="1049"/>
        </w:numPr>
        <w:pStyle w:val="Compact"/>
      </w:pPr>
      <w:r>
        <w:t xml:space="preserve">backup;</w:t>
      </w:r>
    </w:p>
    <w:p>
      <w:pPr>
        <w:numPr>
          <w:ilvl w:val="0"/>
          <w:numId w:val="1049"/>
        </w:numPr>
        <w:pStyle w:val="Compact"/>
      </w:pPr>
      <w:r>
        <w:t xml:space="preserve">deploy produção;</w:t>
      </w:r>
    </w:p>
    <w:p>
      <w:pPr>
        <w:numPr>
          <w:ilvl w:val="0"/>
          <w:numId w:val="1049"/>
        </w:numPr>
        <w:pStyle w:val="Compact"/>
      </w:pPr>
      <w:r>
        <w:t xml:space="preserve">migração;</w:t>
      </w:r>
    </w:p>
    <w:p>
      <w:pPr>
        <w:numPr>
          <w:ilvl w:val="0"/>
          <w:numId w:val="1049"/>
        </w:numPr>
        <w:pStyle w:val="Compact"/>
      </w:pPr>
      <w:r>
        <w:t xml:space="preserve">health checks e observação.</w:t>
      </w:r>
    </w:p>
    <w:bookmarkEnd w:id="198"/>
    <w:bookmarkStart w:id="199" w:name="feature-flags"/>
    <w:p>
      <w:pPr>
        <w:pStyle w:val="Heading3"/>
      </w:pPr>
      <w:r>
        <w:rPr>
          <w:rFonts w:ascii="Calibri" w:hAnsi="Calibri"/>
          <w:b/>
          <w:color w:val="0B1D2B"/>
        </w:rPr>
        <w:t xml:space="preserve">22.3 Feature flags</w:t>
      </w:r>
    </w:p>
    <w:p>
      <w:pPr>
        <w:pStyle w:val="FirstParagraph"/>
      </w:pPr>
      <w:r>
        <w:t xml:space="preserve">Usar para portal, importações, relatórios, plano anual, trial e recursos Enterprise, permitindo lançamento gradual.</w:t>
      </w:r>
    </w:p>
    <w:bookmarkEnd w:id="199"/>
    <w:bookmarkEnd w:id="200"/>
    <w:bookmarkStart w:id="207" w:name="fases-de-entrega"/>
    <w:p>
      <w:pPr>
        <w:pStyle w:val="Heading2"/>
      </w:pPr>
      <w:r>
        <w:rPr>
          <w:rFonts w:ascii="Calibri" w:hAnsi="Calibri"/>
          <w:b/>
          <w:color w:val="175D7B"/>
        </w:rPr>
        <w:t xml:space="preserve">23. Fases de entrega</w:t>
      </w:r>
    </w:p>
    <w:bookmarkStart w:id="201" w:name="fase-0-fundação"/>
    <w:p>
      <w:pPr>
        <w:pStyle w:val="Heading3"/>
      </w:pPr>
      <w:r>
        <w:rPr>
          <w:rFonts w:ascii="Calibri" w:hAnsi="Calibri"/>
          <w:b/>
          <w:color w:val="0B1D2B"/>
        </w:rPr>
        <w:t xml:space="preserve">Fase 0 — Fundação</w:t>
      </w:r>
    </w:p>
    <w:p>
      <w:pPr>
        <w:pStyle w:val="FirstParagraph"/>
      </w:pPr>
      <w:r>
        <w:t xml:space="preserve">Clone, execução, auditoria da base, identidade, ambientes, apps e permissões.</w:t>
      </w:r>
    </w:p>
    <w:bookmarkEnd w:id="201"/>
    <w:bookmarkStart w:id="202" w:name="fase-1-núcleo"/>
    <w:p>
      <w:pPr>
        <w:pStyle w:val="Heading3"/>
      </w:pPr>
      <w:r>
        <w:rPr>
          <w:rFonts w:ascii="Calibri" w:hAnsi="Calibri"/>
          <w:b/>
          <w:color w:val="0B1D2B"/>
        </w:rPr>
        <w:t xml:space="preserve">Fase 1 — Núcleo</w:t>
      </w:r>
    </w:p>
    <w:p>
      <w:pPr>
        <w:pStyle w:val="FirstParagraph"/>
      </w:pPr>
      <w:r>
        <w:t xml:space="preserve">Organizações, equipe, clientes, departamentos, templates, versões e aplicação.</w:t>
      </w:r>
    </w:p>
    <w:bookmarkEnd w:id="202"/>
    <w:bookmarkStart w:id="203" w:name="fase-2-operação-diária"/>
    <w:p>
      <w:pPr>
        <w:pStyle w:val="Heading3"/>
      </w:pPr>
      <w:r>
        <w:rPr>
          <w:rFonts w:ascii="Calibri" w:hAnsi="Calibri"/>
          <w:b/>
          <w:color w:val="0B1D2B"/>
        </w:rPr>
        <w:t xml:space="preserve">Fase 2 — Operação diária</w:t>
      </w:r>
    </w:p>
    <w:p>
      <w:pPr>
        <w:pStyle w:val="FirstParagraph"/>
      </w:pPr>
      <w:r>
        <w:t xml:space="preserve">Tarefas, checklist, datas, recorrências, calendário, dashboard e notificações.</w:t>
      </w:r>
    </w:p>
    <w:bookmarkEnd w:id="203"/>
    <w:bookmarkStart w:id="204" w:name="fase-3-retenção"/>
    <w:p>
      <w:pPr>
        <w:pStyle w:val="Heading3"/>
      </w:pPr>
      <w:r>
        <w:rPr>
          <w:rFonts w:ascii="Calibri" w:hAnsi="Calibri"/>
          <w:b/>
          <w:color w:val="0B1D2B"/>
        </w:rPr>
        <w:t xml:space="preserve">Fase 3 — Retenção</w:t>
      </w:r>
    </w:p>
    <w:p>
      <w:pPr>
        <w:pStyle w:val="FirstParagraph"/>
      </w:pPr>
      <w:r>
        <w:t xml:space="preserve">Documentos, portal, importação, relatórios e auditoria acessível.</w:t>
      </w:r>
    </w:p>
    <w:bookmarkEnd w:id="204"/>
    <w:bookmarkStart w:id="205" w:name="fase-4-venda"/>
    <w:p>
      <w:pPr>
        <w:pStyle w:val="Heading3"/>
      </w:pPr>
      <w:r>
        <w:rPr>
          <w:rFonts w:ascii="Calibri" w:hAnsi="Calibri"/>
          <w:b/>
          <w:color w:val="0B1D2B"/>
        </w:rPr>
        <w:t xml:space="preserve">Fase 4 — Venda</w:t>
      </w:r>
    </w:p>
    <w:p>
      <w:pPr>
        <w:pStyle w:val="FirstParagraph"/>
      </w:pPr>
      <w:r>
        <w:t xml:space="preserve">Site, planos, checkout, cotas, trial, billing, administração e onboarding comercial.</w:t>
      </w:r>
    </w:p>
    <w:bookmarkEnd w:id="205"/>
    <w:bookmarkStart w:id="206" w:name="fase-5-endurecimento"/>
    <w:p>
      <w:pPr>
        <w:pStyle w:val="Heading3"/>
      </w:pPr>
      <w:r>
        <w:rPr>
          <w:rFonts w:ascii="Calibri" w:hAnsi="Calibri"/>
          <w:b/>
          <w:color w:val="0B1D2B"/>
        </w:rPr>
        <w:t xml:space="preserve">Fase 5 — Endurecimento</w:t>
      </w:r>
    </w:p>
    <w:p>
      <w:pPr>
        <w:pStyle w:val="FirstParagraph"/>
      </w:pPr>
      <w:r>
        <w:t xml:space="preserve">E2E, carga, segurança, LGPD, observabilidade, backups, documentação e piloto.</w:t>
      </w:r>
    </w:p>
    <w:p>
      <w:pPr>
        <w:pStyle w:val="BodyText"/>
      </w:pPr>
      <w:r>
        <w:t xml:space="preserve">O desenvolvimento pode ocorrer em frentes paralelas após contratos de dados e permissões, mas integração deve ocorrer continuamente.</w:t>
      </w:r>
    </w:p>
    <w:bookmarkEnd w:id="206"/>
    <w:bookmarkEnd w:id="207"/>
    <w:bookmarkStart w:id="210" w:name="fora-do-mvp-e-evolução"/>
    <w:p>
      <w:pPr>
        <w:pStyle w:val="Heading2"/>
      </w:pPr>
      <w:r>
        <w:rPr>
          <w:rFonts w:ascii="Calibri" w:hAnsi="Calibri"/>
          <w:b/>
          <w:color w:val="175D7B"/>
        </w:rPr>
        <w:t xml:space="preserve">24. Fora do MVP e evolução</w:t>
      </w:r>
    </w:p>
    <w:bookmarkStart w:id="208" w:name="nível-2"/>
    <w:p>
      <w:pPr>
        <w:pStyle w:val="Heading3"/>
      </w:pPr>
      <w:r>
        <w:rPr>
          <w:rFonts w:ascii="Calibri" w:hAnsi="Calibri"/>
          <w:b/>
          <w:color w:val="0B1D2B"/>
        </w:rPr>
        <w:t xml:space="preserve">Nível 2</w:t>
      </w:r>
    </w:p>
    <w:p>
      <w:pPr>
        <w:numPr>
          <w:ilvl w:val="0"/>
          <w:numId w:val="1050"/>
        </w:numPr>
        <w:pStyle w:val="Compact"/>
      </w:pPr>
      <w:r>
        <w:t xml:space="preserve">integrações contábeis;</w:t>
      </w:r>
    </w:p>
    <w:p>
      <w:pPr>
        <w:numPr>
          <w:ilvl w:val="0"/>
          <w:numId w:val="1050"/>
        </w:numPr>
        <w:pStyle w:val="Compact"/>
      </w:pPr>
      <w:r>
        <w:t xml:space="preserve">WhatsApp e SMS;</w:t>
      </w:r>
    </w:p>
    <w:p>
      <w:pPr>
        <w:numPr>
          <w:ilvl w:val="0"/>
          <w:numId w:val="1050"/>
        </w:numPr>
        <w:pStyle w:val="Compact"/>
      </w:pPr>
      <w:r>
        <w:t xml:space="preserve">assinatura eletrônica;</w:t>
      </w:r>
    </w:p>
    <w:p>
      <w:pPr>
        <w:numPr>
          <w:ilvl w:val="0"/>
          <w:numId w:val="1050"/>
        </w:numPr>
        <w:pStyle w:val="Compact"/>
      </w:pPr>
      <w:r>
        <w:t xml:space="preserve">OCR e extração de validade;</w:t>
      </w:r>
    </w:p>
    <w:p>
      <w:pPr>
        <w:numPr>
          <w:ilvl w:val="0"/>
          <w:numId w:val="1050"/>
        </w:numPr>
        <w:pStyle w:val="Compact"/>
      </w:pPr>
      <w:r>
        <w:t xml:space="preserve">automações condicionais;</w:t>
      </w:r>
    </w:p>
    <w:p>
      <w:pPr>
        <w:numPr>
          <w:ilvl w:val="0"/>
          <w:numId w:val="1050"/>
        </w:numPr>
        <w:pStyle w:val="Compact"/>
      </w:pPr>
      <w:r>
        <w:t xml:space="preserve">personalização avançada;</w:t>
      </w:r>
    </w:p>
    <w:p>
      <w:pPr>
        <w:numPr>
          <w:ilvl w:val="0"/>
          <w:numId w:val="1050"/>
        </w:numPr>
        <w:pStyle w:val="Compact"/>
      </w:pPr>
      <w:r>
        <w:t xml:space="preserve">marketplace privado;</w:t>
      </w:r>
    </w:p>
    <w:p>
      <w:pPr>
        <w:numPr>
          <w:ilvl w:val="0"/>
          <w:numId w:val="1050"/>
        </w:numPr>
        <w:pStyle w:val="Compact"/>
      </w:pPr>
      <w:r>
        <w:t xml:space="preserve">API pública completa.</w:t>
      </w:r>
    </w:p>
    <w:bookmarkEnd w:id="208"/>
    <w:bookmarkStart w:id="209" w:name="nível-3"/>
    <w:p>
      <w:pPr>
        <w:pStyle w:val="Heading3"/>
      </w:pPr>
      <w:r>
        <w:rPr>
          <w:rFonts w:ascii="Calibri" w:hAnsi="Calibri"/>
          <w:b/>
          <w:color w:val="0B1D2B"/>
        </w:rPr>
        <w:t xml:space="preserve">Nível 3</w:t>
      </w:r>
    </w:p>
    <w:p>
      <w:pPr>
        <w:numPr>
          <w:ilvl w:val="0"/>
          <w:numId w:val="1051"/>
        </w:numPr>
        <w:pStyle w:val="Compact"/>
      </w:pPr>
      <w:r>
        <w:t xml:space="preserve">base regulatória estruturada;</w:t>
      </w:r>
    </w:p>
    <w:p>
      <w:pPr>
        <w:numPr>
          <w:ilvl w:val="0"/>
          <w:numId w:val="1051"/>
        </w:numPr>
        <w:pStyle w:val="Compact"/>
      </w:pPr>
      <w:r>
        <w:t xml:space="preserve">motor de regras por CNAE/localização;</w:t>
      </w:r>
    </w:p>
    <w:p>
      <w:pPr>
        <w:numPr>
          <w:ilvl w:val="0"/>
          <w:numId w:val="1051"/>
        </w:numPr>
        <w:pStyle w:val="Compact"/>
      </w:pPr>
      <w:r>
        <w:t xml:space="preserve">monitoramento de fontes oficiais;</w:t>
      </w:r>
    </w:p>
    <w:p>
      <w:pPr>
        <w:numPr>
          <w:ilvl w:val="0"/>
          <w:numId w:val="1051"/>
        </w:numPr>
        <w:pStyle w:val="Compact"/>
      </w:pPr>
      <w:r>
        <w:t xml:space="preserve">IA assistiva e preventiva;</w:t>
      </w:r>
    </w:p>
    <w:p>
      <w:pPr>
        <w:numPr>
          <w:ilvl w:val="0"/>
          <w:numId w:val="1051"/>
        </w:numPr>
        <w:pStyle w:val="Compact"/>
      </w:pPr>
      <w:r>
        <w:t xml:space="preserve">score de risco;</w:t>
      </w:r>
    </w:p>
    <w:p>
      <w:pPr>
        <w:numPr>
          <w:ilvl w:val="0"/>
          <w:numId w:val="1051"/>
        </w:numPr>
        <w:pStyle w:val="Compact"/>
      </w:pPr>
      <w:r>
        <w:t xml:space="preserve">marketplace de prestadores;</w:t>
      </w:r>
    </w:p>
    <w:p>
      <w:pPr>
        <w:numPr>
          <w:ilvl w:val="0"/>
          <w:numId w:val="1051"/>
        </w:numPr>
        <w:pStyle w:val="Compact"/>
      </w:pPr>
      <w:r>
        <w:t xml:space="preserve">recomendações sujeitas a validação humana.</w:t>
      </w:r>
    </w:p>
    <w:p>
      <w:pPr>
        <w:pStyle w:val="FirstParagraph"/>
      </w:pPr>
      <w:r>
        <w:t xml:space="preserve">Essas extensões não devem contaminar o escopo nem a comunicação do MVP.</w:t>
      </w:r>
    </w:p>
    <w:bookmarkEnd w:id="209"/>
    <w:bookmarkEnd w:id="210"/>
    <w:bookmarkStart w:id="211" w:name="definition-of-done-do-mvp"/>
    <w:p>
      <w:pPr>
        <w:pStyle w:val="Heading2"/>
      </w:pPr>
      <w:r>
        <w:rPr>
          <w:rFonts w:ascii="Calibri" w:hAnsi="Calibri"/>
          <w:b/>
          <w:color w:val="175D7B"/>
        </w:rPr>
        <w:t xml:space="preserve">25. Definition of Done do MVP</w:t>
      </w:r>
    </w:p>
    <w:p>
      <w:pPr>
        <w:pStyle w:val="FirstParagraph"/>
      </w:pPr>
      <w:r>
        <w:t xml:space="preserve">O MVP estará pronto para venda quando:</w:t>
      </w:r>
    </w:p>
    <w:p>
      <w:pPr>
        <w:numPr>
          <w:ilvl w:val="0"/>
          <w:numId w:val="1052"/>
        </w:numPr>
        <w:pStyle w:val="Compact"/>
      </w:pPr>
      <w:r>
        <w:t xml:space="preserve">um escritório contratar sem intervenção técnica;</w:t>
      </w:r>
    </w:p>
    <w:p>
      <w:pPr>
        <w:numPr>
          <w:ilvl w:val="0"/>
          <w:numId w:val="1052"/>
        </w:numPr>
        <w:pStyle w:val="Compact"/>
      </w:pPr>
      <w:r>
        <w:t xml:space="preserve">concluir onboarding;</w:t>
      </w:r>
    </w:p>
    <w:p>
      <w:pPr>
        <w:numPr>
          <w:ilvl w:val="0"/>
          <w:numId w:val="1052"/>
        </w:numPr>
        <w:pStyle w:val="Compact"/>
      </w:pPr>
      <w:r>
        <w:t xml:space="preserve">importar ao menos 100 clientes;</w:t>
      </w:r>
    </w:p>
    <w:p>
      <w:pPr>
        <w:numPr>
          <w:ilvl w:val="0"/>
          <w:numId w:val="1052"/>
        </w:numPr>
        <w:pStyle w:val="Compact"/>
      </w:pPr>
      <w:r>
        <w:t xml:space="preserve">convidar equipe;</w:t>
      </w:r>
    </w:p>
    <w:p>
      <w:pPr>
        <w:numPr>
          <w:ilvl w:val="0"/>
          <w:numId w:val="1052"/>
        </w:numPr>
        <w:pStyle w:val="Compact"/>
      </w:pPr>
      <w:r>
        <w:t xml:space="preserve">criar e publicar template;</w:t>
      </w:r>
    </w:p>
    <w:p>
      <w:pPr>
        <w:numPr>
          <w:ilvl w:val="0"/>
          <w:numId w:val="1052"/>
        </w:numPr>
        <w:pStyle w:val="Compact"/>
      </w:pPr>
      <w:r>
        <w:t xml:space="preserve">aplicar template em menos de cinco minutos;</w:t>
      </w:r>
    </w:p>
    <w:p>
      <w:pPr>
        <w:numPr>
          <w:ilvl w:val="0"/>
          <w:numId w:val="1052"/>
        </w:numPr>
        <w:pStyle w:val="Compact"/>
      </w:pPr>
      <w:r>
        <w:t xml:space="preserve">executar tarefas e recorrências;</w:t>
      </w:r>
    </w:p>
    <w:p>
      <w:pPr>
        <w:numPr>
          <w:ilvl w:val="0"/>
          <w:numId w:val="1052"/>
        </w:numPr>
        <w:pStyle w:val="Compact"/>
      </w:pPr>
      <w:r>
        <w:t xml:space="preserve">solicitar e receber documentos;</w:t>
      </w:r>
    </w:p>
    <w:p>
      <w:pPr>
        <w:numPr>
          <w:ilvl w:val="0"/>
          <w:numId w:val="1052"/>
        </w:numPr>
        <w:pStyle w:val="Compact"/>
      </w:pPr>
      <w:r>
        <w:t xml:space="preserve">operar calendário e alertas;</w:t>
      </w:r>
    </w:p>
    <w:p>
      <w:pPr>
        <w:numPr>
          <w:ilvl w:val="0"/>
          <w:numId w:val="1052"/>
        </w:numPr>
        <w:pStyle w:val="Compact"/>
      </w:pPr>
      <w:r>
        <w:t xml:space="preserve">conceder portal seguro;</w:t>
      </w:r>
    </w:p>
    <w:p>
      <w:pPr>
        <w:numPr>
          <w:ilvl w:val="0"/>
          <w:numId w:val="1052"/>
        </w:numPr>
        <w:pStyle w:val="Compact"/>
      </w:pPr>
      <w:r>
        <w:t xml:space="preserve">consultar relatórios e auditoria;</w:t>
      </w:r>
    </w:p>
    <w:p>
      <w:pPr>
        <w:numPr>
          <w:ilvl w:val="0"/>
          <w:numId w:val="1052"/>
        </w:numPr>
        <w:pStyle w:val="Compact"/>
      </w:pPr>
      <w:r>
        <w:t xml:space="preserve">alterar plano e pagar;</w:t>
      </w:r>
    </w:p>
    <w:p>
      <w:pPr>
        <w:numPr>
          <w:ilvl w:val="0"/>
          <w:numId w:val="1052"/>
        </w:numPr>
        <w:pStyle w:val="Compact"/>
      </w:pPr>
      <w:r>
        <w:t xml:space="preserve">ter dados isolados e recuperáveis;</w:t>
      </w:r>
    </w:p>
    <w:p>
      <w:pPr>
        <w:numPr>
          <w:ilvl w:val="0"/>
          <w:numId w:val="1052"/>
        </w:numPr>
        <w:pStyle w:val="Compact"/>
      </w:pPr>
      <w:r>
        <w:t xml:space="preserve">passar pelos testes críticos;</w:t>
      </w:r>
    </w:p>
    <w:p>
      <w:pPr>
        <w:numPr>
          <w:ilvl w:val="0"/>
          <w:numId w:val="1052"/>
        </w:numPr>
        <w:pStyle w:val="Compact"/>
      </w:pPr>
      <w:r>
        <w:t xml:space="preserve">possuir documentação de operação, suporte e incidentes.</w:t>
      </w:r>
    </w:p>
    <w:bookmarkEnd w:id="211"/>
    <w:bookmarkStart w:id="212" w:name="instrução-final-ao-agente"/>
    <w:p>
      <w:pPr>
        <w:pStyle w:val="Heading2"/>
      </w:pPr>
      <w:r>
        <w:rPr>
          <w:rFonts w:ascii="Calibri" w:hAnsi="Calibri"/>
          <w:b/>
          <w:color w:val="175D7B"/>
        </w:rPr>
        <w:t xml:space="preserve">26. Instrução final ao agente</w:t>
      </w:r>
    </w:p>
    <w:p>
      <w:pPr>
        <w:pStyle w:val="FirstParagraph"/>
      </w:pPr>
      <w:r>
        <w:t xml:space="preserve">Não iniciar por telas isoladas nem por um projeto vazio. O primeiro comando de obtenção da base deve ser:</w:t>
      </w:r>
    </w:p>
    <w:p>
      <w:pPr>
        <w:pStyle w:val="BodyText"/>
      </w:pPr>
      <w:r>
        <w:rPr>
          <w:rStyle w:val="VerbatimChar"/>
        </w:rPr>
        <w:t xml:space="preserve">git clone https://github.com/alc-br/company-core.git</w:t>
      </w:r>
    </w:p>
    <w:p>
      <w:pPr>
        <w:pStyle w:val="BodyText"/>
      </w:pPr>
      <w:r>
        <w:t xml:space="preserve">Todo recurso deve ser classificado como: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reutilização do Company Core</w:t>
      </w:r>
      <w:r>
        <w:t xml:space="preserve">;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extensão controlada do Core</w:t>
      </w:r>
      <w:r>
        <w:t xml:space="preserve">; ou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novo domínio Company Radar</w:t>
      </w:r>
      <w:r>
        <w:t xml:space="preserve">.</w:t>
      </w:r>
    </w:p>
    <w:p>
      <w:pPr>
        <w:pStyle w:val="FirstParagraph"/>
      </w:pPr>
      <w:r>
        <w:t xml:space="preserve">Antes de implementar, o agente deve produzir mapa de reutilização, modelo de dados, matriz de permissões, contratos de serviços, plano de migrações e sequência de épicos. Nenhuma funcionalidade do MVP pode depender de IA, fonte legislativa externa ou integração contábil ainda inexistente.</w:t>
      </w:r>
    </w:p>
    <w:p>
      <w:pPr>
        <w:pStyle w:val="BodyText"/>
      </w:pPr>
      <w:r>
        <w:t xml:space="preserve">O produto deve sair como uma solução completa de organização operacional para escritórios contábeis, com cobrança real, onboarding, rotina diária, portal, documentos, alertas e histórico suficiente para que o cliente incorpore o Company Radar à operação e tenha motivos concretos para continuar assinando.</w:t>
      </w:r>
    </w:p>
    <w:bookmarkEnd w:id="212"/>
    <w:bookmarkEnd w:id="213"/>
    <w:sectPr>
      <w:headerReference w:type="default" r:id="rId9"/>
      <w:footerReference w:type="default" r:id="rId10"/>
      <w:pgSz w:w="12240" w:h="15840"/>
      <w:pgMar w:top="1224" w:bottom="1152" w:left="1224" w:right="1224" w:header="504" w:foot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36B"/>
        <w:sz w:val="16"/>
      </w:rPr>
      <w:t>Company Radar • Versão 1.0 • 30/07/2026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A636B"/>
        <w:sz w:val="16"/>
      </w:rPr>
      <w:t>COMPANY RADAR  |  ESPECIFICAÇÃO DO MVP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9" w:lineRule="auto"/>
    </w:pPr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60" w:before="0"/>
      <w:jc w:val="center"/>
    </w:pPr>
    <w:rPr>
      <w:rFonts w:asciiTheme="majorHAnsi" w:cstheme="majorBidi" w:eastAsiaTheme="majorEastAsia" w:hAnsiTheme="majorHAnsi" w:ascii="Calibri" w:hAnsi="Calibri"/>
      <w:b/>
      <w:bCs/>
      <w:color w:val="0B1D2B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320"/>
      <w:outlineLvl w:val="0"/>
    </w:pPr>
    <w:rPr>
      <w:rFonts w:asciiTheme="majorHAnsi" w:cstheme="majorBidi" w:eastAsiaTheme="majorEastAsia" w:hAnsiTheme="majorHAnsi" w:ascii="Calibri" w:hAnsi="Calibri"/>
      <w:b/>
      <w:bCs/>
      <w:color w:val="0B1D2B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40"/>
      <w:outlineLvl w:val="1"/>
    </w:pPr>
    <w:rPr>
      <w:rFonts w:asciiTheme="majorHAnsi" w:cstheme="majorBidi" w:eastAsiaTheme="majorEastAsia" w:hAnsiTheme="majorHAnsi" w:ascii="Calibri" w:hAnsi="Calibri"/>
      <w:b/>
      <w:bCs/>
      <w:color w:val="175D7B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 w:ascii="Calibri" w:hAnsi="Calibri"/>
      <w:b/>
      <w:bCs/>
      <w:color w:val="0B1D2B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Radar — Especificação funcional e técnica completa do MVP</dc:title>
  <dc:creator>Anderson Chipak</dc:creator>
  <cp:keywords>Company Radar, Company Core, SaaS, escritórios contábeis, MVP</cp:keywords>
  <dcterms:created xsi:type="dcterms:W3CDTF">2026-07-30T16:58:56Z</dcterms:created>
  <dcterms:modified xsi:type="dcterms:W3CDTF">2026-07-30T16:58:56Z</dcterms:modified>
  <dc:subject>MVP SaaS para escritórios contábeis sobre o Company Core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