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80"/>
        <w:jc w:val="left"/>
      </w:pPr>
      <w:r>
        <w:rPr>
          <w:rFonts w:ascii="Arial" w:cs="Arial" w:eastAsia="Arial" w:hAnsi="Arial"/>
          <w:b/>
          <w:bCs/>
          <w:color w:val="1A1A2E"/>
          <w:sz w:val="48"/>
          <w:szCs w:val="48"/>
        </w:rPr>
        <w:t xml:space="preserve">AI in April 2026: Agents Rise, Efficiency Wins, and the Gap Widens</w:t>
      </w:r>
    </w:p>
    <w:p>
      <w:pPr>
        <w:spacing w:after="400"/>
      </w:pPr>
      <w:r>
        <w:rPr>
          <w:rFonts w:ascii="Arial" w:cs="Arial" w:eastAsia="Arial" w:hAnsi="Arial"/>
          <w:color w:val="666666"/>
          <w:sz w:val="22"/>
          <w:szCs w:val="22"/>
        </w:rPr>
        <w:t xml:space="preserve">April 16, 2026</w:t>
      </w:r>
    </w:p>
    <w:p>
      <w:pPr>
        <w:spacing w:after="200"/>
      </w:pPr>
      <w:r>
        <w:t xml:space="preserve">The AI industry in early 2026 is no longer defined by who has the biggest model. It’s defined by who can ship real value. Stanford’s latest AI Index, NVIDIA’s State of AI report, and PwC’s performance study all converge on the same story: the era of raw scaling is giving way to an era of efficiency, agents, and widening competitive gaps.</w:t>
      </w:r>
    </w:p>
    <w:p>
      <w:pPr>
        <w:pStyle w:val="Heading2"/>
      </w:pPr>
      <w:r>
        <w:t xml:space="preserve">The Model Race: From Bigger to Better</w:t>
      </w:r>
    </w:p>
    <w:p>
      <w:pPr>
        <w:spacing w:after="200"/>
      </w:pPr>
      <w:r>
        <w:t xml:space="preserve">The top-performing models—Anthropic’s Claude Opus 4.6, Google’s Gemini 3.1 Pro—now crack 50% accuracy on Humanity’s Last Exam, a benchmark once considered nearly impossible for machines. But the real shift isn’t at the top of the leaderboard. It’s in how fast the middle tier is catching up.</w:t>
      </w:r>
    </w:p>
    <w:p>
      <w:pPr>
        <w:spacing w:after="200"/>
      </w:pPr>
      <w:r>
        <w:t xml:space="preserve">Google’s Gemini 3.1 Flash-Lite and similar efficient models are proving that you don’t need a data center to run competitive AI. The industry consensus is clear: scaling efficiency, not just scaling compute, is the path forward. As one Stanford researcher put it, “The question is no longer how big, but how smart per watt.”</w:t>
      </w:r>
    </w:p>
    <w:p>
      <w:pPr>
        <w:pStyle w:val="Heading2"/>
      </w:pPr>
      <w:r>
        <w:t xml:space="preserve">Agentic AI: From Concept to Deployment</w:t>
      </w:r>
    </w:p>
    <w:p>
      <w:pPr>
        <w:spacing w:after="200"/>
      </w:pPr>
      <w:r>
        <w:t xml:space="preserve">If 2025 was the year people talked about AI agents, 2026 is the year they actually shipped. Telecom leads adoption at 48%, with retail close behind at 47%. Anthropic’s Model Context Protocol (MCP) hit 97 million installs in March—a signal that agent infrastructure is becoming as routine as REST APIs once were.</w:t>
      </w:r>
    </w:p>
    <w:p>
      <w:pPr>
        <w:spacing w:after="200"/>
      </w:pPr>
      <w:r>
        <w:t xml:space="preserve">The shift is architectural. Companies are moving from single-model chatbots to multi-agent systems that can browse, query databases, execute code, and coordinate across tools. This isn’t hype—it’s measurable in deployment numbers and enterprise budgets. What’s driving adoption is reliability: agents that can handle context windows of millions of tokens, maintain memory across sessions, and gracefully recover from errors. The infrastructure layer—protocols, orchestration frameworks, monitoring tools—is maturing fast enough that even mid-size companies can deploy agent workflows without a dedicated ML team.</w:t>
      </w:r>
    </w:p>
    <w:p>
      <w:pPr>
        <w:pStyle w:val="Heading2"/>
      </w:pPr>
      <w:r>
        <w:t xml:space="preserve">The 20/80 Split: Winners Pull Away</w:t>
      </w:r>
    </w:p>
    <w:p>
      <w:pPr>
        <w:spacing w:after="200"/>
      </w:pPr>
      <w:r>
        <w:t xml:space="preserve">PwC’s 2026 study drops a striking number: 76% of AI’s economic gains are captured by just 20% of companies. The top performers aren’t just using AI for cost-cutting—they’re using it to drive revenue growth, launch new products, and restructure entire workflows.</w:t>
      </w:r>
    </w:p>
    <w:p>
      <w:pPr>
        <w:spacing w:after="200"/>
      </w:pPr>
      <w:r>
        <w:t xml:space="preserve">Meanwhile, 76% of large companies report active AI usage, with only 2% saying they don’t use it at all. But “using AI” and “capturing value from AI” are two very different things. The gap between experimenters and executors is widening fast. The leading companies share a pattern: they invest in data infrastructure first, build internal AI teams rather than relying solely on vendors, and treat AI as a core business strategy rather than an IT project.</w:t>
      </w:r>
    </w:p>
    <w:p>
      <w:pPr>
        <w:pStyle w:val="Heading2"/>
      </w:pPr>
      <w:r>
        <w:t xml:space="preserve">The Human Cost—and Value</w:t>
      </w:r>
    </w:p>
    <w:p>
      <w:pPr>
        <w:spacing w:after="200"/>
      </w:pPr>
      <w:r>
        <w:t xml:space="preserve">The numbers cut both ways. Employment among software developers aged 22–25 has dropped nearly 20% since 2024. Entry-level coding roles are being compressed as AI handles more routine development work. Companies that once hired ten junior developers now hire three seniors and give them AI copilots. The productivity math works—but the pipeline for training the next generation of engineers is under real strain.</w:t>
      </w:r>
    </w:p>
    <w:p>
      <w:pPr>
        <w:spacing w:after="200"/>
      </w:pPr>
      <w:r>
        <w:t xml:space="preserve">On the other side, the estimated value of generative AI tools to U.S. consumers reached $172 billion annually by early 2026, with per-user value tripling in just one year. AI is simultaneously displacing some jobs while creating enormous consumer surplus—a tension that will define policy debates for years to come.</w:t>
      </w:r>
    </w:p>
    <w:p>
      <w:pPr>
        <w:pStyle w:val="Heading2"/>
      </w:pPr>
      <w:r>
        <w:t xml:space="preserve">What’s Next: Physical AI and Scientific Discovery</w:t>
      </w:r>
    </w:p>
    <w:p>
      <w:pPr>
        <w:spacing w:after="200"/>
      </w:pPr>
      <w:r>
        <w:t xml:space="preserve">Two frontiers are accelerating. First, physical AI: Hyundai’s “AI+Robotics” roadmap and NVIDIA’s Isaac GR00T models are pushing AI out of the cloud and into the physical world. Robots that understand natural language and execute multi-step tasks are no longer research demos—they’re product roadmaps.</w:t>
      </w:r>
    </w:p>
    <w:p>
      <w:pPr>
        <w:spacing w:after="200"/>
      </w:pPr>
      <w:r>
        <w:t xml:space="preserve">Second, AI in science. AI-related publications in natural, physical, and life sciences all grew 26–28% year-over-year. AI is moving from summarizing papers to actively participating in discovery—designing experiments, predicting molecular behavior, and accelerating drug development.</w:t>
      </w:r>
    </w:p>
    <w:p>
      <w:pPr>
        <w:pStyle w:val="Heading2"/>
      </w:pPr>
      <w:r>
        <w:t xml:space="preserve">The Environmental Elephant</w:t>
      </w:r>
    </w:p>
    <w:p>
      <w:pPr>
        <w:spacing w:after="200"/>
      </w:pPr>
      <w:r>
        <w:t xml:space="preserve">None of this comes free. Grok 4’s estimated training emissions hit 72,816 tons of CO₂ equivalent—roughly the annual output of 15,000 passenger cars. As the industry scales, the energy bill scales with it. Efficient models help, but the aggregate demand is still climbing. Some companies are investing in renewable-powered data centers; others are betting on novel cooling systems and chip architectures that do more with less power. This will be the defining constraint—and opportunity—of the next phase.</w:t>
      </w:r>
    </w:p>
    <w:p>
      <w:pPr>
        <w:spacing w:after="200" w:before="200"/>
      </w:pPr>
      <w:r>
        <w:rPr>
          <w:b/>
          <w:bCs/>
        </w:rPr>
        <w:t xml:space="preserve">Bottom line: </w:t>
      </w:r>
      <w:r>
        <w:t xml:space="preserve">April 2026 marks the transition from “What can AI do?” to “Who can make AI pay?” The technology is no longer the bottleneck. Execution is.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888888"/>
        <w:sz w:val="18"/>
        <w:szCs w:val="18"/>
      </w:rPr>
      <w:t xml:space="preserve">AI Industry Insight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120"/>
      <w:outlineLvl w:val="0"/>
    </w:pPr>
    <w:rPr>
      <w:rFonts w:ascii="Arial" w:cs="Arial" w:eastAsia="Arial" w:hAnsi="Arial"/>
      <w:b/>
      <w:bCs/>
      <w:color w:val="1A1A2E"/>
      <w:sz w:val="40"/>
      <w:szCs w:val="40"/>
    </w:rPr>
  </w:style>
  <w:style w:type="paragraph" w:styleId="Heading2">
    <w:name w:val="Heading 2"/>
    <w:basedOn w:val="Normal"/>
    <w:next w:val="Normal"/>
    <w:qFormat/>
    <w:pPr>
      <w:spacing w:after="120" w:before="240"/>
      <w:outlineLvl w:val="1"/>
    </w:pPr>
    <w:rPr>
      <w:rFonts w:ascii="Arial" w:cs="Arial" w:eastAsia="Arial" w:hAnsi="Arial"/>
      <w:b/>
      <w:bCs/>
      <w:color w:val="16213E"/>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2026-04-16T08:42:46.506Z</dcterms:created>
  <dcterms:modified xsi:type="dcterms:W3CDTF">2026-04-16T08:42:46.506Z</dcterms:modified>
</cp:coreProperties>
</file>

<file path=docProps/custom.xml><?xml version="1.0" encoding="utf-8"?>
<Properties xmlns="http://schemas.openxmlformats.org/officeDocument/2006/custom-properties" xmlns:vt="http://schemas.openxmlformats.org/officeDocument/2006/docPropsVTypes"/>
</file>