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DATA CLEANING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Los objetivos detrás del “data cleaning” son los siguientes: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 Reorganizar datos que pueden estar “desordenados” (por ejemplo URLs)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-Convertir columnas en distintos tipos de datos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-Trucos para manipular los NULLs.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18"/>
          <w:szCs w:val="18"/>
        </w:rPr>
        <w:t>LEFT &amp; RIGHT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Estos statements obtienen los caracteres de la izquierda y derecha respectivamente y los devuelven separados (en un string distinto).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Ejemplo: suponiendo que tenemos phone_number como un string de 12 caracteres y sabiendo que tiene este formato: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abc – defg – hij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Siendo abc el área y defg – hij el número de teléfono propiamente dicho.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LEFT (phone_number, 3) AS area_code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RIGHT(phone_number, 8) AS phone_number_only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18"/>
          <w:szCs w:val="18"/>
        </w:rPr>
        <w:t>LENGTH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Devuelve la longitud de un string.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RIGHT(phone_number, LENGTH(phone_number – 4) AS phone_number_alt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18"/>
          <w:szCs w:val="18"/>
        </w:rPr>
        <w:t>POSITION, STRPOS, LOWER, UPPER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POSITION: te devuelve una columna con la posición del carácter buscado en un string.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  <w:t>POSITION(‘,’ IN city_state)</w:t>
      </w:r>
    </w:p>
    <w:p>
      <w:pPr>
        <w:pStyle w:val="Normal"/>
        <w:bidi w:val="0"/>
        <w:jc w:val="left"/>
        <w:rPr>
          <w:color w:val="FF4000"/>
        </w:rPr>
      </w:pPr>
      <w:r>
        <w:rPr>
          <w:color w:val="FF4000"/>
        </w:rPr>
        <w:t>¿Qué pasa si el carácter está más de 1 vez? ¿Te devuelve la primera o la última posición?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STRPOS: funciona igual que POSITION pero la nomenclatura es distinta.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  <w:t>STRPOS(city_state, ‘,’)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¡Ojo! Ambos son case sensitive. Para eso nos pueden ayudar “LOWER” o “UPPER”, que nos devuelve una columna poniendo todo el string en mayúsculas o minúsculas.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b/>
          <w:bCs/>
          <w:color w:val="111111"/>
        </w:rPr>
      </w:pPr>
      <w:r>
        <w:rPr>
          <w:b/>
          <w:bCs/>
          <w:color w:val="111111"/>
        </w:rPr>
        <w:t>CONCAT o ||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Ambos sirven para unir distintos strings, pudiendo añadir caracteres entre medias de ambos.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  <w:t>CONCAT(first_name, ‘ ‘, last_name) AS full_name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  <w:t>first_name || ‘ ‘ || last_name AS full_name2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color w:val="468A1A"/>
            <w:sz w:val="24"/>
            <w:szCs w:val="24"/>
          </w:rPr>
          <w:t>https://www.postgresql.org/docs/8.1/functions-string.html</w:t>
        </w:r>
      </w:hyperlink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Esta página es útil para trabajar con strings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b/>
          <w:bCs/>
          <w:color w:val="111111"/>
        </w:rPr>
        <w:t>CAST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Hay veces que la fecha viene separado por año, mes y día. Para poder trabajar con el tipo de dato “date” hay que: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1º Concatenar con el formato YYYY-MM-DD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2º Hacer el CAST de esa concatenación para asignar nombre a la nueva columna.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  <w:t>CAST(date_column AS DATE)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/>
      </w:pPr>
      <w:r>
        <w:rPr>
          <w:color w:val="111111"/>
        </w:rPr>
        <w:t xml:space="preserve">No obstante se pueden hacer otras transformaciones, se puede profundizar aquí: </w:t>
      </w:r>
      <w:hyperlink r:id="rId5">
        <w:r>
          <w:rPr>
            <w:rStyle w:val="Hyperlink"/>
            <w:color w:val="111111"/>
          </w:rPr>
          <w:t>https://www.postgresqltutorial.com/postgresql-tutorial/postgresql-cast/</w:t>
        </w:r>
      </w:hyperlink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También se puede usar el CAST usando “::”, un ejemplo: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value::target_type</w:t>
      </w:r>
    </w:p>
    <w:p>
      <w:pPr>
        <w:pStyle w:val="Normal"/>
        <w:bidi w:val="0"/>
        <w:jc w:val="left"/>
        <w:rPr>
          <w:b/>
          <w:bCs/>
          <w:color w:val="111111"/>
        </w:rPr>
      </w:pPr>
      <w:r>
        <w:rPr>
          <w:b/>
          <w:bCs/>
          <w:color w:val="111111"/>
        </w:rPr>
        <w:t>TO_DATE(month, ‘month_name’)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Coge la columna “month_name” y transforma el carácter en el número asociado de mes.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b/>
          <w:bCs/>
          <w:color w:val="111111"/>
        </w:rPr>
        <w:t xml:space="preserve">COALESCE </w:t>
      </w:r>
      <w:r>
        <w:rPr>
          <w:b/>
          <w:bCs/>
          <w:color w:val="111111"/>
        </w:rPr>
        <w:t>(</w:t>
      </w:r>
      <w:r>
        <w:rPr>
          <w:b/>
          <w:bCs/>
          <w:color w:val="111111"/>
        </w:rPr>
        <w:t>columnA</w:t>
      </w:r>
      <w:r>
        <w:rPr>
          <w:b/>
          <w:bCs/>
          <w:color w:val="111111"/>
        </w:rPr>
        <w:t xml:space="preserve">, </w:t>
      </w:r>
      <w:r>
        <w:rPr>
          <w:b/>
          <w:bCs/>
          <w:color w:val="111111"/>
        </w:rPr>
        <w:t>columnB</w:t>
      </w:r>
      <w:r>
        <w:rPr>
          <w:b/>
          <w:bCs/>
          <w:color w:val="111111"/>
        </w:rPr>
        <w:t>) AS new_column_name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COALESCE rellena la columna B con el valor de la columna A y deja vacía la columna A</w:t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  <w:t>Devuelve el primer valor “no nulo” de cada fila.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docs/8.1/functions-string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postgresqltutorial.com/postgresql-tutorial/postgresql-cast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2165</TotalTime>
  <Application>LibreOffice/24.2.2.2$Windows_X86_64 LibreOffice_project/d56cc158d8a96260b836f100ef4b4ef25d6f1a01</Application>
  <AppVersion>15.0000</AppVersion>
  <Pages>2</Pages>
  <Words>343</Words>
  <Characters>1987</Characters>
  <CharactersWithSpaces>2294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2024-04-11T12:16:17Z</dcterms:created>
  <dc:creator/>
  <dc:description/>
  <dc:language>es-ES</dc:language>
  <cp:lastModifiedBy/>
  <dcterms:modified xsi:type="dcterms:W3CDTF">2024-04-19T20:13:18Z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