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969E18" w14:textId="77777777" w:rsidR="00274262" w:rsidRDefault="00274262">
      <w:pPr>
        <w:pStyle w:val="Ttulo1"/>
        <w:rPr>
          <w:rFonts w:eastAsia="Times New Roman"/>
        </w:rPr>
      </w:pPr>
      <w:r>
        <w:rPr>
          <w:rFonts w:eastAsia="Times New Roman"/>
        </w:rPr>
        <w:t>Sistemas lineales con parámetro — Rouché-Frobenius</w:t>
      </w:r>
    </w:p>
    <w:p w14:paraId="073BB86B" w14:textId="77777777" w:rsidR="00274262" w:rsidRDefault="00274262">
      <w:pPr>
        <w:divId w:val="1670595343"/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</w:pPr>
      <w:r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  <w:t>Instrucciones de uso de la calculadora</w:t>
      </w:r>
    </w:p>
    <w:p w14:paraId="191E8F1B" w14:textId="77777777" w:rsidR="00274262" w:rsidRDefault="00274262">
      <w:pPr>
        <w:pStyle w:val="Ttulo2"/>
        <w:rPr>
          <w:rFonts w:eastAsia="Times New Roman"/>
        </w:rPr>
      </w:pPr>
      <w:r>
        <w:rPr>
          <w:rFonts w:eastAsia="Times New Roman"/>
        </w:rPr>
        <w:t>¿Qué hace esta calculadora?</w:t>
      </w:r>
    </w:p>
    <w:p w14:paraId="4464B50F" w14:textId="77777777" w:rsidR="00274262" w:rsidRDefault="00274262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Discute un sistema de ecuaciones lineales cuyos coeficientes dependen de un </w:t>
      </w:r>
      <w:r>
        <w:rPr>
          <w:rStyle w:val="Fuerte"/>
          <w:rFonts w:ascii="DM Sans" w:hAnsi="DM Sans"/>
          <w:sz w:val="20"/>
          <w:szCs w:val="20"/>
        </w:rPr>
        <w:t>parámetro</w:t>
      </w:r>
      <w:r>
        <w:rPr>
          <w:rFonts w:ascii="DM Sans" w:hAnsi="DM Sans"/>
          <w:sz w:val="20"/>
          <w:szCs w:val="20"/>
        </w:rPr>
        <w:t xml:space="preserve"> (p. ej., </w:t>
      </w:r>
      <w:r>
        <w:rPr>
          <w:rStyle w:val="formula1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, </w:t>
      </w:r>
      <w:r>
        <w:rPr>
          <w:rStyle w:val="formula1"/>
          <w:rFonts w:ascii="DM Sans" w:hAnsi="DM Sans"/>
          <w:sz w:val="20"/>
          <w:szCs w:val="20"/>
        </w:rPr>
        <w:t>k</w:t>
      </w:r>
      <w:r>
        <w:rPr>
          <w:rFonts w:ascii="DM Sans" w:hAnsi="DM Sans"/>
          <w:sz w:val="20"/>
          <w:szCs w:val="20"/>
        </w:rPr>
        <w:t xml:space="preserve">, </w:t>
      </w:r>
      <w:r>
        <w:rPr>
          <w:rStyle w:val="formula1"/>
          <w:rFonts w:ascii="Cambria" w:hAnsi="Cambria" w:cs="Cambria"/>
          <w:sz w:val="20"/>
          <w:szCs w:val="20"/>
        </w:rPr>
        <w:t>λ</w:t>
      </w:r>
      <w:r>
        <w:rPr>
          <w:rFonts w:ascii="DM Sans" w:hAnsi="DM Sans"/>
          <w:sz w:val="20"/>
          <w:szCs w:val="20"/>
        </w:rPr>
        <w:t xml:space="preserve">). La herramienta aplica el teorema de Rouché-Frobenius para </w:t>
      </w:r>
      <w:r>
        <w:rPr>
          <w:rStyle w:val="Fuerte"/>
          <w:rFonts w:ascii="DM Sans" w:hAnsi="DM Sans"/>
          <w:sz w:val="20"/>
          <w:szCs w:val="20"/>
        </w:rPr>
        <w:t>cada caso posible del parámetro</w:t>
      </w:r>
      <w:r>
        <w:rPr>
          <w:rFonts w:ascii="DM Sans" w:hAnsi="DM Sans"/>
          <w:sz w:val="20"/>
          <w:szCs w:val="20"/>
        </w:rPr>
        <w:t>: el caso general y los valores críticos donde el comportamiento del sistema cambia.</w:t>
      </w:r>
    </w:p>
    <w:p w14:paraId="6682C767" w14:textId="77777777" w:rsidR="00274262" w:rsidRDefault="00274262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1BFBCEDF">
          <v:rect id="_x0000_i1025" style="width:0;height:1.5pt" o:hralign="center" o:hrstd="t" o:hr="t" fillcolor="#a0a0a0" stroked="f"/>
        </w:pict>
      </w:r>
    </w:p>
    <w:p w14:paraId="4228BB25" w14:textId="77777777" w:rsidR="00274262" w:rsidRDefault="00274262">
      <w:pPr>
        <w:pStyle w:val="Ttulo2"/>
        <w:rPr>
          <w:rFonts w:eastAsia="Times New Roman"/>
        </w:rPr>
      </w:pPr>
      <w:r>
        <w:rPr>
          <w:rFonts w:eastAsia="Times New Roman"/>
        </w:rPr>
        <w:t>Pasos de la calculadora</w:t>
      </w:r>
    </w:p>
    <w:p w14:paraId="2FA05688" w14:textId="77777777" w:rsidR="00274262" w:rsidRDefault="00274262">
      <w:pPr>
        <w:shd w:val="clear" w:color="auto" w:fill="1A2B6B"/>
        <w:divId w:val="838616101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0</w:t>
      </w:r>
    </w:p>
    <w:p w14:paraId="35245BF3" w14:textId="77777777" w:rsidR="00274262" w:rsidRDefault="00274262">
      <w:pPr>
        <w:divId w:val="99969772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Introducción de datos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Introduce: </w:t>
      </w:r>
    </w:p>
    <w:p w14:paraId="4EE84A20" w14:textId="77777777" w:rsidR="00274262" w:rsidRDefault="00274262">
      <w:pPr>
        <w:numPr>
          <w:ilvl w:val="0"/>
          <w:numId w:val="1"/>
        </w:numPr>
        <w:spacing w:before="60"/>
        <w:divId w:val="999697720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Nº de ecuaciones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(1 a 5)</w:t>
      </w:r>
    </w:p>
    <w:p w14:paraId="40708717" w14:textId="77777777" w:rsidR="00274262" w:rsidRDefault="00274262">
      <w:pPr>
        <w:numPr>
          <w:ilvl w:val="0"/>
          <w:numId w:val="1"/>
        </w:numPr>
        <w:spacing w:before="60"/>
        <w:divId w:val="999697720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Nº de incógnitas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</w:t>
      </w:r>
      <w:r>
        <w:rPr>
          <w:rFonts w:ascii="DM Sans" w:eastAsia="Times New Roman" w:hAnsi="DM Sans"/>
          <w:color w:val="374151"/>
          <w:sz w:val="20"/>
          <w:szCs w:val="20"/>
        </w:rPr>
        <w:t>(1 a 5)</w:t>
      </w:r>
    </w:p>
    <w:p w14:paraId="37FB528D" w14:textId="77777777" w:rsidR="00274262" w:rsidRDefault="00274262">
      <w:pPr>
        <w:numPr>
          <w:ilvl w:val="0"/>
          <w:numId w:val="1"/>
        </w:numPr>
        <w:spacing w:before="60"/>
        <w:divId w:val="999697720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Nombre del parámetro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: una sola letra (p. ej., </w:t>
      </w:r>
      <w:r>
        <w:rPr>
          <w:rStyle w:val="CdigoHTML"/>
        </w:rPr>
        <w:t>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, </w:t>
      </w:r>
      <w:r>
        <w:rPr>
          <w:rStyle w:val="CdigoHTML"/>
        </w:rPr>
        <w:t>k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, </w:t>
      </w:r>
      <w:r>
        <w:rPr>
          <w:rStyle w:val="CdigoHTML"/>
        </w:rPr>
        <w:t>m</w:t>
      </w:r>
      <w:r>
        <w:rPr>
          <w:rFonts w:ascii="DM Sans" w:eastAsia="Times New Roman" w:hAnsi="DM Sans"/>
          <w:color w:val="374151"/>
          <w:sz w:val="20"/>
          <w:szCs w:val="20"/>
        </w:rPr>
        <w:t>)</w:t>
      </w:r>
    </w:p>
    <w:p w14:paraId="3F9AB2DB" w14:textId="77777777" w:rsidR="00274262" w:rsidRDefault="00274262">
      <w:pPr>
        <w:divId w:val="99969772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 xml:space="preserve">Luego rellena la </w:t>
      </w: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matriz ampliada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[A|b] con expresiones algebraicas en el parámetro: </w:t>
      </w:r>
    </w:p>
    <w:p w14:paraId="2CCC47E9" w14:textId="77777777" w:rsidR="00274262" w:rsidRDefault="00274262">
      <w:pPr>
        <w:shd w:val="clear" w:color="auto" w:fill="F0F4FF"/>
        <w:divId w:val="1072849957"/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  <w:t>Expresiones válidas</w:t>
      </w:r>
    </w:p>
    <w:p w14:paraId="33EF9302" w14:textId="77777777" w:rsidR="00274262" w:rsidRDefault="00274262">
      <w:pPr>
        <w:shd w:val="clear" w:color="auto" w:fill="F0F4FF"/>
        <w:divId w:val="2034381005"/>
        <w:rPr>
          <w:rFonts w:ascii="DM Sans" w:eastAsia="Times New Roman" w:hAnsi="DM Sans"/>
          <w:color w:val="374151"/>
          <w:sz w:val="18"/>
          <w:szCs w:val="18"/>
        </w:rPr>
      </w:pPr>
      <w:r>
        <w:rPr>
          <w:rStyle w:val="CdigoHTML"/>
        </w:rPr>
        <w:t>a+1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2a-3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a^2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3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-a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1/2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</w:t>
      </w:r>
    </w:p>
    <w:p w14:paraId="08E773A5" w14:textId="77777777" w:rsidR="00274262" w:rsidRDefault="00274262">
      <w:pPr>
        <w:pStyle w:val="NormalWeb"/>
        <w:spacing w:before="60" w:beforeAutospacing="0"/>
        <w:divId w:val="999697720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Los coeficientes numéricos puros también se admiten. Pulsa Tab o Enter para avanzar entre celdas.</w:t>
      </w:r>
    </w:p>
    <w:p w14:paraId="324C3218" w14:textId="77777777" w:rsidR="00274262" w:rsidRDefault="00274262">
      <w:pPr>
        <w:shd w:val="clear" w:color="auto" w:fill="1A2B6B"/>
        <w:divId w:val="606814501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1</w:t>
      </w:r>
    </w:p>
    <w:p w14:paraId="302AA28E" w14:textId="77777777" w:rsidR="00274262" w:rsidRDefault="00274262">
      <w:pPr>
        <w:divId w:val="1255280939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Rango de A (caso general)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Calcula el rango de la matriz de coeficientes </w:t>
      </w:r>
      <w:r>
        <w:rPr>
          <w:rStyle w:val="formula1"/>
          <w:rFonts w:ascii="DM Sans" w:eastAsia="Times New Roman" w:hAnsi="DM Sans"/>
          <w:sz w:val="20"/>
          <w:szCs w:val="20"/>
        </w:rPr>
        <w:t>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para un valor </w:t>
      </w:r>
      <w:r>
        <w:rPr>
          <w:rStyle w:val="nfasis"/>
          <w:rFonts w:ascii="DM Sans" w:eastAsia="Times New Roman" w:hAnsi="DM Sans"/>
          <w:color w:val="111827"/>
          <w:sz w:val="20"/>
          <w:szCs w:val="20"/>
        </w:rPr>
        <w:t>genérico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del parámetro (es decir, cuando ningún determinante relevante se anula). El widget de rango funciona igual que en la versión sin parámetro: </w:t>
      </w:r>
    </w:p>
    <w:p w14:paraId="6EAAE146" w14:textId="77777777" w:rsidR="00274262" w:rsidRDefault="00274262">
      <w:pPr>
        <w:shd w:val="clear" w:color="auto" w:fill="F1F5F9"/>
        <w:divId w:val="1063523872"/>
        <w:rPr>
          <w:rFonts w:ascii="DM Sans" w:eastAsia="Times New Roman" w:hAnsi="DM Sans"/>
          <w:b/>
          <w:bCs/>
          <w:caps/>
          <w:color w:val="475569"/>
          <w:spacing w:val="17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475569"/>
          <w:spacing w:val="17"/>
          <w:sz w:val="15"/>
          <w:szCs w:val="15"/>
        </w:rPr>
        <w:t>Widget de rango con parámetro</w:t>
      </w:r>
    </w:p>
    <w:p w14:paraId="2C912368" w14:textId="77777777" w:rsidR="00274262" w:rsidRDefault="00274262">
      <w:pPr>
        <w:numPr>
          <w:ilvl w:val="0"/>
          <w:numId w:val="2"/>
        </w:numPr>
        <w:shd w:val="clear" w:color="auto" w:fill="F1F5F9"/>
        <w:spacing w:before="45"/>
        <w:divId w:val="824080091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Elige el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orden del menor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e introduce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índices de filas y columnas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(p. ej., filas </w:t>
      </w:r>
      <w:r>
        <w:rPr>
          <w:rStyle w:val="CdigoHTML"/>
        </w:rPr>
        <w:t>1,2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col. </w:t>
      </w:r>
      <w:r>
        <w:rPr>
          <w:rStyle w:val="CdigoHTML"/>
        </w:rPr>
        <w:t>1,2</w:t>
      </w:r>
      <w:r>
        <w:rPr>
          <w:rFonts w:ascii="DM Sans" w:eastAsia="Times New Roman" w:hAnsi="DM Sans"/>
          <w:color w:val="374151"/>
          <w:sz w:val="18"/>
          <w:szCs w:val="18"/>
        </w:rPr>
        <w:t>).</w:t>
      </w:r>
    </w:p>
    <w:p w14:paraId="570812B0" w14:textId="77777777" w:rsidR="00274262" w:rsidRDefault="00274262">
      <w:pPr>
        <w:numPr>
          <w:ilvl w:val="0"/>
          <w:numId w:val="2"/>
        </w:numPr>
        <w:shd w:val="clear" w:color="auto" w:fill="F1F5F9"/>
        <w:spacing w:before="45"/>
        <w:divId w:val="824080091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La herramienta muestra la expresión algebraica del determinante en el parámetro. Si esa expresión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no es idénticamente cero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para el caso general, confirma el rango.</w:t>
      </w:r>
    </w:p>
    <w:p w14:paraId="6BC1D5D5" w14:textId="77777777" w:rsidR="00274262" w:rsidRDefault="00274262">
      <w:pPr>
        <w:numPr>
          <w:ilvl w:val="0"/>
          <w:numId w:val="2"/>
        </w:numPr>
        <w:shd w:val="clear" w:color="auto" w:fill="F1F5F9"/>
        <w:spacing w:before="45"/>
        <w:divId w:val="824080091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Si el determinante sí se puede anular, la herramienta detectará ese valor como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caso crítico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a tratar aparte.</w:t>
      </w:r>
    </w:p>
    <w:p w14:paraId="06353BCD" w14:textId="77777777" w:rsidR="00274262" w:rsidRDefault="00274262">
      <w:pPr>
        <w:shd w:val="clear" w:color="auto" w:fill="1A2B6B"/>
        <w:divId w:val="1501658480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2</w:t>
      </w:r>
    </w:p>
    <w:p w14:paraId="4343DED8" w14:textId="77777777" w:rsidR="00274262" w:rsidRDefault="00274262">
      <w:pPr>
        <w:divId w:val="1879585877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Rango de (A|b) (caso general)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Mismo proceso para la </w:t>
      </w: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matriz ampliada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Confirma el rango para el caso general del parámetro. </w:t>
      </w:r>
    </w:p>
    <w:p w14:paraId="1DC8E73A" w14:textId="77777777" w:rsidR="00274262" w:rsidRDefault="00274262">
      <w:pPr>
        <w:shd w:val="clear" w:color="auto" w:fill="1A2B6B"/>
        <w:divId w:val="1669406320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3</w:t>
      </w:r>
    </w:p>
    <w:p w14:paraId="3F5B5EFB" w14:textId="77777777" w:rsidR="00274262" w:rsidRDefault="00274262">
      <w:pPr>
        <w:divId w:val="1082409838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Valores críticos del parámetro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La herramienta lista las expresiones de los determinantes calculados e indica los valores del parámetro que los anulan. Puedes: </w:t>
      </w:r>
    </w:p>
    <w:p w14:paraId="2F57A4E4" w14:textId="77777777" w:rsidR="00274262" w:rsidRDefault="00274262">
      <w:pPr>
        <w:numPr>
          <w:ilvl w:val="0"/>
          <w:numId w:val="3"/>
        </w:numPr>
        <w:spacing w:before="60" w:after="60"/>
        <w:divId w:val="1082409838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color w:val="374151"/>
          <w:sz w:val="20"/>
          <w:szCs w:val="20"/>
        </w:rPr>
        <w:t>Confirmar los valores críticos detectados automáticamente.</w:t>
      </w:r>
    </w:p>
    <w:p w14:paraId="505D9346" w14:textId="77777777" w:rsidR="00274262" w:rsidRDefault="00274262">
      <w:pPr>
        <w:numPr>
          <w:ilvl w:val="0"/>
          <w:numId w:val="3"/>
        </w:numPr>
        <w:spacing w:before="60" w:after="60"/>
        <w:divId w:val="1082409838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color w:val="374151"/>
          <w:sz w:val="20"/>
          <w:szCs w:val="20"/>
        </w:rPr>
        <w:t>Añadir manualmente valores críticos adicionales si los conoces.</w:t>
      </w:r>
    </w:p>
    <w:p w14:paraId="30E7B31B" w14:textId="77777777" w:rsidR="00274262" w:rsidRDefault="00274262">
      <w:pPr>
        <w:pStyle w:val="NormalWeb"/>
        <w:divId w:val="1082409838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Estos son los valores del parámetro para los que habrá que estudiar el sistema por separado (ya que el rango puede cambiar).</w:t>
      </w:r>
    </w:p>
    <w:p w14:paraId="43CEE202" w14:textId="77777777" w:rsidR="00274262" w:rsidRDefault="00274262">
      <w:pPr>
        <w:shd w:val="clear" w:color="auto" w:fill="1A2B6B"/>
        <w:divId w:val="2012174246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4</w:t>
      </w:r>
    </w:p>
    <w:p w14:paraId="72C14057" w14:textId="77777777" w:rsidR="00274262" w:rsidRDefault="00274262">
      <w:pPr>
        <w:divId w:val="176625922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Discusión por casos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Para cada caso (el caso general y cada valor crítico) la herramienta: </w:t>
      </w:r>
    </w:p>
    <w:p w14:paraId="7ACE2CBB" w14:textId="77777777" w:rsidR="00274262" w:rsidRDefault="00274262">
      <w:pPr>
        <w:numPr>
          <w:ilvl w:val="0"/>
          <w:numId w:val="4"/>
        </w:numPr>
        <w:spacing w:before="60" w:after="60"/>
        <w:divId w:val="176625922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color w:val="374151"/>
          <w:sz w:val="20"/>
          <w:szCs w:val="20"/>
        </w:rPr>
        <w:lastRenderedPageBreak/>
        <w:t>Sustituye el valor del parámetro en la matriz.</w:t>
      </w:r>
    </w:p>
    <w:p w14:paraId="52970E20" w14:textId="77777777" w:rsidR="00274262" w:rsidRDefault="00274262">
      <w:pPr>
        <w:numPr>
          <w:ilvl w:val="0"/>
          <w:numId w:val="4"/>
        </w:numPr>
        <w:spacing w:before="60" w:after="60"/>
        <w:divId w:val="176625922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color w:val="374151"/>
          <w:sz w:val="20"/>
          <w:szCs w:val="20"/>
        </w:rPr>
        <w:t xml:space="preserve">Muestra </w:t>
      </w:r>
      <w:r>
        <w:rPr>
          <w:rStyle w:val="formula1"/>
          <w:rFonts w:ascii="DM Sans" w:eastAsia="Times New Roman" w:hAnsi="DM Sans"/>
          <w:sz w:val="20"/>
          <w:szCs w:val="20"/>
        </w:rPr>
        <w:t>rg(A)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y </w:t>
      </w:r>
      <w:r>
        <w:rPr>
          <w:rStyle w:val="formula1"/>
          <w:rFonts w:ascii="DM Sans" w:eastAsia="Times New Roman" w:hAnsi="DM Sans"/>
          <w:sz w:val="20"/>
          <w:szCs w:val="20"/>
        </w:rPr>
        <w:t>rg(A|b)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para ese caso.</w:t>
      </w:r>
    </w:p>
    <w:p w14:paraId="0805B5C6" w14:textId="77777777" w:rsidR="00274262" w:rsidRDefault="00274262">
      <w:pPr>
        <w:numPr>
          <w:ilvl w:val="0"/>
          <w:numId w:val="4"/>
        </w:numPr>
        <w:spacing w:before="60" w:after="60"/>
        <w:divId w:val="176625922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color w:val="374151"/>
          <w:sz w:val="20"/>
          <w:szCs w:val="20"/>
        </w:rPr>
        <w:t>Aplica Rouché-Frobenius y determina el tipo de sistema:</w:t>
      </w:r>
    </w:p>
    <w:p w14:paraId="5E1B1FBB" w14:textId="77777777" w:rsidR="00274262" w:rsidRDefault="00274262">
      <w:pPr>
        <w:divId w:val="728377819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DM Sans" w:eastAsia="Times New Roman" w:hAnsi="DM Sans"/>
          <w:color w:val="111827"/>
        </w:rPr>
        <w:t>Incompatible</w:t>
      </w:r>
    </w:p>
    <w:p w14:paraId="519D289E" w14:textId="77777777" w:rsidR="00274262" w:rsidRDefault="00274262">
      <w:pPr>
        <w:divId w:val="712998715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ormula1"/>
          <w:rFonts w:ascii="DM Sans" w:eastAsia="Times New Roman" w:hAnsi="DM Sans"/>
          <w:sz w:val="20"/>
          <w:szCs w:val="20"/>
        </w:rPr>
        <w:t>rg(A) ≠ rg(A|b)</w:t>
      </w:r>
    </w:p>
    <w:p w14:paraId="152C0D84" w14:textId="77777777" w:rsidR="00274262" w:rsidRDefault="00274262">
      <w:pPr>
        <w:divId w:val="1587032304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DM Sans" w:eastAsia="Times New Roman" w:hAnsi="DM Sans"/>
          <w:color w:val="111827"/>
        </w:rPr>
        <w:t>Compatible determinado</w:t>
      </w:r>
    </w:p>
    <w:p w14:paraId="560F4BCE" w14:textId="77777777" w:rsidR="00274262" w:rsidRDefault="00274262">
      <w:pPr>
        <w:divId w:val="154752585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ormula1"/>
          <w:rFonts w:ascii="DM Sans" w:eastAsia="Times New Roman" w:hAnsi="DM Sans"/>
          <w:sz w:val="20"/>
          <w:szCs w:val="20"/>
        </w:rPr>
        <w:t>rg(A) = rg(A|b) = n</w:t>
      </w:r>
    </w:p>
    <w:p w14:paraId="23DC0949" w14:textId="77777777" w:rsidR="00274262" w:rsidRDefault="00274262">
      <w:pPr>
        <w:divId w:val="15677007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DM Sans" w:eastAsia="Times New Roman" w:hAnsi="DM Sans"/>
          <w:color w:val="111827"/>
        </w:rPr>
        <w:t>Compatible indeterminado</w:t>
      </w:r>
    </w:p>
    <w:p w14:paraId="4B5CFB21" w14:textId="77777777" w:rsidR="00274262" w:rsidRDefault="00274262">
      <w:pPr>
        <w:divId w:val="192586948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ormula1"/>
          <w:rFonts w:ascii="DM Sans" w:eastAsia="Times New Roman" w:hAnsi="DM Sans"/>
          <w:sz w:val="20"/>
          <w:szCs w:val="20"/>
        </w:rPr>
        <w:t>rg(A) = rg(A|b) &lt; n</w:t>
      </w:r>
    </w:p>
    <w:p w14:paraId="491AF103" w14:textId="77777777" w:rsidR="00274262" w:rsidRDefault="00274262">
      <w:pPr>
        <w:shd w:val="clear" w:color="auto" w:fill="1A2B6B"/>
        <w:divId w:val="655380880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5</w:t>
      </w:r>
    </w:p>
    <w:p w14:paraId="299CD9A1" w14:textId="77777777" w:rsidR="00274262" w:rsidRDefault="00274262">
      <w:pPr>
        <w:divId w:val="347871679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Solución por casos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Para los casos compatibles la herramienta muestra la solución (o la solución general si es indeterminado). Para los incompatibles indica que no hay solución. </w:t>
      </w:r>
    </w:p>
    <w:p w14:paraId="0155D1A7" w14:textId="77777777" w:rsidR="00274262" w:rsidRDefault="00274262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263C14D2">
          <v:rect id="_x0000_i1026" style="width:0;height:1.5pt" o:hralign="center" o:hrstd="t" o:hr="t" fillcolor="#a0a0a0" stroked="f"/>
        </w:pict>
      </w:r>
    </w:p>
    <w:p w14:paraId="5458B72D" w14:textId="77777777" w:rsidR="00274262" w:rsidRDefault="00274262">
      <w:pPr>
        <w:pStyle w:val="Ttulo2"/>
        <w:rPr>
          <w:rFonts w:eastAsia="Times New Roman"/>
        </w:rPr>
      </w:pPr>
      <w:r>
        <w:rPr>
          <w:rFonts w:eastAsia="Times New Roman"/>
        </w:rPr>
        <w:t>Botones adicionales</w:t>
      </w:r>
    </w:p>
    <w:p w14:paraId="6A782C70" w14:textId="77777777" w:rsidR="00274262" w:rsidRDefault="00274262">
      <w:pPr>
        <w:numPr>
          <w:ilvl w:val="0"/>
          <w:numId w:val="5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SOLUCIÓN AUTOMÁTICA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Completa todos los pasos pendientes automáticamente. Aparece en el panel lateral de pasos. </w:t>
      </w:r>
      <w:r>
        <w:rPr>
          <w:rStyle w:val="nfasis"/>
          <w:rFonts w:ascii="DM Sans" w:eastAsia="Times New Roman" w:hAnsi="DM Sans"/>
          <w:color w:val="374151"/>
          <w:sz w:val="20"/>
          <w:szCs w:val="20"/>
        </w:rPr>
        <w:t>No se recomienda para aprender.</w:t>
      </w:r>
    </w:p>
    <w:p w14:paraId="1F4DA9FE" w14:textId="77777777" w:rsidR="00274262" w:rsidRDefault="00274262">
      <w:pPr>
        <w:numPr>
          <w:ilvl w:val="0"/>
          <w:numId w:val="5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OTRO SISTEMA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Reinicia la calculadora para introducir un nuevo sistema con parámetro.</w:t>
      </w:r>
    </w:p>
    <w:p w14:paraId="017F3EEF" w14:textId="77777777" w:rsidR="00274262" w:rsidRDefault="00274262">
      <w:pPr>
        <w:shd w:val="clear" w:color="auto" w:fill="FEFCE8"/>
        <w:divId w:val="32047576"/>
        <w:rPr>
          <w:rFonts w:ascii="DM Sans" w:eastAsia="Times New Roman" w:hAnsi="DM Sans"/>
          <w:color w:val="713F12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Expresiones admitidas en las celdas: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enteros, fracciones (</w:t>
      </w:r>
      <w:r>
        <w:rPr>
          <w:rStyle w:val="CdigoHTML"/>
        </w:rPr>
        <w:t>3/4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), decimales, y expresiones polinómicas en el parámetro como </w:t>
      </w:r>
      <w:r>
        <w:rPr>
          <w:rStyle w:val="CdigoHTML"/>
        </w:rPr>
        <w:t>2a+1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, </w:t>
      </w:r>
      <w:r>
        <w:rPr>
          <w:rStyle w:val="CdigoHTML"/>
        </w:rPr>
        <w:t>a^2-3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o </w:t>
      </w:r>
      <w:r>
        <w:rPr>
          <w:rStyle w:val="CdigoHTML"/>
        </w:rPr>
        <w:t>-a/2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. </w:t>
      </w:r>
    </w:p>
    <w:p w14:paraId="099DF925" w14:textId="77777777" w:rsidR="00274262" w:rsidRDefault="00274262">
      <w:pPr>
        <w:shd w:val="clear" w:color="auto" w:fill="FEF2F2"/>
        <w:divId w:val="1282227159"/>
        <w:rPr>
          <w:rFonts w:ascii="DM Sans" w:eastAsia="Times New Roman" w:hAnsi="DM Sans"/>
          <w:color w:val="7F1D1D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Parámetro en el término independiente: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 el parámetro puede aparecer también en la columna de términos independientes (última columna), lo que afecta al rango de (A|b). </w:t>
      </w:r>
    </w:p>
    <w:p w14:paraId="0C6BBB44" w14:textId="77777777" w:rsidR="00274262" w:rsidRDefault="00274262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Para más teoría, pulsa </w:t>
      </w:r>
      <w:r>
        <w:rPr>
          <w:rStyle w:val="Fuerte"/>
          <w:sz w:val="20"/>
          <w:szCs w:val="20"/>
        </w:rPr>
        <w:t>←</w:t>
      </w:r>
      <w:r>
        <w:rPr>
          <w:rStyle w:val="Fuerte"/>
          <w:rFonts w:ascii="DM Sans" w:hAnsi="DM Sans"/>
          <w:sz w:val="20"/>
          <w:szCs w:val="20"/>
        </w:rPr>
        <w:t xml:space="preserve"> TEOR</w:t>
      </w:r>
      <w:r>
        <w:rPr>
          <w:rStyle w:val="Fuerte"/>
          <w:rFonts w:ascii="DM Sans" w:hAnsi="DM Sans" w:cs="DM Sans"/>
          <w:sz w:val="20"/>
          <w:szCs w:val="20"/>
        </w:rPr>
        <w:t>Í</w:t>
      </w:r>
      <w:r>
        <w:rPr>
          <w:rStyle w:val="Fuerte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 en la barra superior.</w:t>
      </w:r>
    </w:p>
    <w:sectPr w:rsidR="00274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B24"/>
    <w:multiLevelType w:val="multilevel"/>
    <w:tmpl w:val="3A2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3FAB"/>
    <w:multiLevelType w:val="multilevel"/>
    <w:tmpl w:val="ABD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876B0"/>
    <w:multiLevelType w:val="multilevel"/>
    <w:tmpl w:val="3DC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56BCA"/>
    <w:multiLevelType w:val="multilevel"/>
    <w:tmpl w:val="04C0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11DAE"/>
    <w:multiLevelType w:val="multilevel"/>
    <w:tmpl w:val="AA2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29454">
    <w:abstractNumId w:val="4"/>
  </w:num>
  <w:num w:numId="2" w16cid:durableId="1575243768">
    <w:abstractNumId w:val="3"/>
  </w:num>
  <w:num w:numId="3" w16cid:durableId="597641015">
    <w:abstractNumId w:val="2"/>
  </w:num>
  <w:num w:numId="4" w16cid:durableId="1093664845">
    <w:abstractNumId w:val="0"/>
  </w:num>
  <w:num w:numId="5" w16cid:durableId="106649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F8"/>
    <w:rsid w:val="00274262"/>
    <w:rsid w:val="00BB40F8"/>
    <w:rsid w:val="00D0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1A768"/>
  <w15:chartTrackingRefBased/>
  <w15:docId w15:val="{898E1F71-88DC-4AF6-B658-0E8B62AF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60"/>
      <w:outlineLvl w:val="0"/>
    </w:pPr>
    <w:rPr>
      <w:rFonts w:ascii="DM Serif Display" w:hAnsi="DM Serif Display"/>
      <w:color w:val="1A2B6B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E8EEFF"/>
      </w:pBdr>
      <w:spacing w:before="300" w:after="120"/>
      <w:outlineLvl w:val="1"/>
    </w:pPr>
    <w:rPr>
      <w:rFonts w:ascii="DM Sans" w:hAnsi="DM Sans"/>
      <w:b/>
      <w:bCs/>
      <w:caps/>
      <w:color w:val="2563EB"/>
      <w:spacing w:val="24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1E40AF"/>
      <w:sz w:val="18"/>
      <w:szCs w:val="18"/>
      <w:bdr w:val="single" w:sz="6" w:space="1" w:color="E2E8F0" w:frame="1"/>
      <w:shd w:val="clear" w:color="auto" w:fill="F1F5F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0" w:beforeAutospacing="1" w:after="120"/>
    </w:pPr>
    <w:rPr>
      <w:color w:val="37415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  <w:rPr>
      <w:color w:val="374151"/>
    </w:rPr>
  </w:style>
  <w:style w:type="paragraph" w:customStyle="1" w:styleId="subtitulo">
    <w:name w:val="subtitulo"/>
    <w:basedOn w:val="Normal"/>
    <w:pPr>
      <w:spacing w:before="60" w:after="330"/>
    </w:pPr>
    <w:rPr>
      <w:b/>
      <w:bCs/>
      <w:caps/>
      <w:color w:val="6B7280"/>
      <w:spacing w:val="10"/>
      <w:sz w:val="18"/>
      <w:szCs w:val="18"/>
    </w:rPr>
  </w:style>
  <w:style w:type="paragraph" w:customStyle="1" w:styleId="paso">
    <w:name w:val="paso"/>
    <w:basedOn w:val="Normal"/>
    <w:pPr>
      <w:spacing w:before="60" w:after="180"/>
    </w:pPr>
    <w:rPr>
      <w:color w:val="374151"/>
    </w:rPr>
  </w:style>
  <w:style w:type="paragraph" w:customStyle="1" w:styleId="num-label">
    <w:name w:val="num-label"/>
    <w:basedOn w:val="Normal"/>
    <w:pPr>
      <w:shd w:val="clear" w:color="auto" w:fill="1A2B6B"/>
      <w:spacing w:before="45" w:after="60"/>
    </w:pPr>
    <w:rPr>
      <w:b/>
      <w:bCs/>
      <w:color w:val="FFFFFF"/>
      <w:spacing w:val="14"/>
      <w:sz w:val="15"/>
      <w:szCs w:val="15"/>
    </w:rPr>
  </w:style>
  <w:style w:type="paragraph" w:customStyle="1" w:styleId="op-tabla">
    <w:name w:val="op-tabla"/>
    <w:basedOn w:val="Normal"/>
    <w:pPr>
      <w:spacing w:before="150" w:after="150"/>
    </w:pPr>
    <w:rPr>
      <w:color w:val="374151"/>
    </w:rPr>
  </w:style>
  <w:style w:type="paragraph" w:customStyle="1" w:styleId="formula">
    <w:name w:val="formula"/>
    <w:basedOn w:val="Normal"/>
    <w:pPr>
      <w:spacing w:before="60" w:after="60"/>
    </w:pPr>
    <w:rPr>
      <w:b/>
      <w:bCs/>
      <w:i/>
      <w:iCs/>
      <w:color w:val="1A2B6B"/>
    </w:rPr>
  </w:style>
  <w:style w:type="paragraph" w:customStyle="1" w:styleId="ejemplo">
    <w:name w:val="ejemplo"/>
    <w:basedOn w:val="Normal"/>
    <w:pPr>
      <w:pBdr>
        <w:left w:val="single" w:sz="18" w:space="8" w:color="2563EB"/>
      </w:pBdr>
      <w:shd w:val="clear" w:color="auto" w:fill="F0F4FF"/>
      <w:spacing w:before="90" w:after="90"/>
    </w:pPr>
    <w:rPr>
      <w:color w:val="374151"/>
      <w:sz w:val="18"/>
      <w:szCs w:val="18"/>
    </w:rPr>
  </w:style>
  <w:style w:type="paragraph" w:customStyle="1" w:styleId="nota">
    <w:name w:val="nota"/>
    <w:basedOn w:val="Normal"/>
    <w:pPr>
      <w:p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pBdr>
      <w:shd w:val="clear" w:color="auto" w:fill="FEFCE8"/>
      <w:spacing w:before="180" w:after="180"/>
    </w:pPr>
    <w:rPr>
      <w:color w:val="713F12"/>
      <w:sz w:val="18"/>
      <w:szCs w:val="18"/>
    </w:rPr>
  </w:style>
  <w:style w:type="paragraph" w:customStyle="1" w:styleId="casorow">
    <w:name w:val="casorow"/>
    <w:basedOn w:val="Normal"/>
    <w:pPr>
      <w:spacing w:before="75" w:after="75"/>
    </w:pPr>
    <w:rPr>
      <w:color w:val="374151"/>
    </w:rPr>
  </w:style>
  <w:style w:type="paragraph" w:customStyle="1" w:styleId="caso-badge">
    <w:name w:val="caso-badge"/>
    <w:basedOn w:val="Normal"/>
    <w:pPr>
      <w:spacing w:before="60" w:after="60"/>
    </w:pPr>
    <w:rPr>
      <w:b/>
      <w:bCs/>
      <w:color w:val="374151"/>
      <w:spacing w:val="10"/>
      <w:sz w:val="15"/>
      <w:szCs w:val="15"/>
    </w:rPr>
  </w:style>
  <w:style w:type="paragraph" w:customStyle="1" w:styleId="badge-cd">
    <w:name w:val="badge-cd"/>
    <w:basedOn w:val="Normal"/>
    <w:pPr>
      <w:shd w:val="clear" w:color="auto" w:fill="DBEAFE"/>
      <w:spacing w:before="60" w:after="60"/>
    </w:pPr>
    <w:rPr>
      <w:color w:val="1E3A8A"/>
    </w:rPr>
  </w:style>
  <w:style w:type="paragraph" w:customStyle="1" w:styleId="badge-ci">
    <w:name w:val="badge-ci"/>
    <w:basedOn w:val="Normal"/>
    <w:pPr>
      <w:shd w:val="clear" w:color="auto" w:fill="FEF9C3"/>
      <w:spacing w:before="60" w:after="60"/>
    </w:pPr>
    <w:rPr>
      <w:color w:val="713F12"/>
    </w:rPr>
  </w:style>
  <w:style w:type="paragraph" w:customStyle="1" w:styleId="badge-inc">
    <w:name w:val="badge-inc"/>
    <w:basedOn w:val="Normal"/>
    <w:pPr>
      <w:shd w:val="clear" w:color="auto" w:fill="FEE2E2"/>
      <w:spacing w:before="60" w:after="60"/>
    </w:pPr>
    <w:rPr>
      <w:color w:val="7F1D1D"/>
    </w:rPr>
  </w:style>
  <w:style w:type="paragraph" w:customStyle="1" w:styleId="divider">
    <w:name w:val="divider"/>
    <w:basedOn w:val="Normal"/>
    <w:pPr>
      <w:pBdr>
        <w:top w:val="single" w:sz="6" w:space="0" w:color="E5E7EB"/>
      </w:pBdr>
      <w:spacing w:before="270" w:after="270"/>
    </w:pPr>
    <w:rPr>
      <w:color w:val="374151"/>
    </w:rPr>
  </w:style>
  <w:style w:type="paragraph" w:customStyle="1" w:styleId="rank-widget">
    <w:name w:val="rank-widget"/>
    <w:basedOn w:val="Normal"/>
    <w:pPr>
      <w:pBdr>
        <w:top w:val="single" w:sz="6" w:space="8" w:color="CBD5E1"/>
        <w:left w:val="single" w:sz="6" w:space="11" w:color="CBD5E1"/>
        <w:bottom w:val="single" w:sz="6" w:space="8" w:color="CBD5E1"/>
        <w:right w:val="single" w:sz="6" w:space="11" w:color="CBD5E1"/>
      </w:pBdr>
      <w:shd w:val="clear" w:color="auto" w:fill="F1F5F9"/>
      <w:spacing w:before="120" w:after="120"/>
    </w:pPr>
    <w:rPr>
      <w:color w:val="374151"/>
      <w:sz w:val="18"/>
      <w:szCs w:val="18"/>
    </w:rPr>
  </w:style>
  <w:style w:type="paragraph" w:customStyle="1" w:styleId="aviso">
    <w:name w:val="aviso"/>
    <w:basedOn w:val="Normal"/>
    <w:pPr>
      <w:p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pBdr>
      <w:shd w:val="clear" w:color="auto" w:fill="FEF2F2"/>
      <w:spacing w:before="180" w:after="180"/>
    </w:pPr>
    <w:rPr>
      <w:color w:val="7F1D1D"/>
      <w:sz w:val="18"/>
      <w:szCs w:val="18"/>
    </w:rPr>
  </w:style>
  <w:style w:type="paragraph" w:customStyle="1" w:styleId="ej-label">
    <w:name w:val="ej-label"/>
    <w:basedOn w:val="Normal"/>
    <w:pPr>
      <w:spacing w:before="60" w:after="60"/>
    </w:pPr>
    <w:rPr>
      <w:color w:val="374151"/>
    </w:rPr>
  </w:style>
  <w:style w:type="paragraph" w:customStyle="1" w:styleId="rw-title">
    <w:name w:val="rw-title"/>
    <w:basedOn w:val="Normal"/>
    <w:pPr>
      <w:spacing w:before="60" w:after="60"/>
    </w:pPr>
    <w:rPr>
      <w:color w:val="374151"/>
    </w:rPr>
  </w:style>
  <w:style w:type="paragraph" w:customStyle="1" w:styleId="ej-label1">
    <w:name w:val="ej-label1"/>
    <w:basedOn w:val="Normal"/>
    <w:pPr>
      <w:spacing w:before="100" w:beforeAutospacing="1" w:after="45"/>
    </w:pPr>
    <w:rPr>
      <w:b/>
      <w:bCs/>
      <w:caps/>
      <w:color w:val="2563EB"/>
      <w:spacing w:val="19"/>
      <w:sz w:val="15"/>
      <w:szCs w:val="15"/>
    </w:rPr>
  </w:style>
  <w:style w:type="paragraph" w:customStyle="1" w:styleId="rw-title1">
    <w:name w:val="rw-title1"/>
    <w:basedOn w:val="Normal"/>
    <w:pPr>
      <w:spacing w:before="100" w:beforeAutospacing="1" w:after="75"/>
    </w:pPr>
    <w:rPr>
      <w:b/>
      <w:bCs/>
      <w:caps/>
      <w:color w:val="475569"/>
      <w:spacing w:val="17"/>
      <w:sz w:val="15"/>
      <w:szCs w:val="15"/>
    </w:rPr>
  </w:style>
  <w:style w:type="character" w:customStyle="1" w:styleId="formula1">
    <w:name w:val="formula1"/>
    <w:basedOn w:val="Fuentedeprrafopredeter"/>
    <w:rPr>
      <w:b/>
      <w:bCs/>
      <w:i/>
      <w:iCs/>
      <w:color w:val="1A2B6B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customStyle="1" w:styleId="caso-badge1">
    <w:name w:val="caso-badge1"/>
    <w:basedOn w:val="Fuentedeprrafopredeter"/>
    <w:rPr>
      <w:b/>
      <w:bCs/>
      <w:spacing w:val="1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576">
      <w:marLeft w:val="0"/>
      <w:marRight w:val="0"/>
      <w:marTop w:val="180"/>
      <w:marBottom w:val="180"/>
      <w:div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divBdr>
    </w:div>
    <w:div w:id="74704503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50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091">
              <w:marLeft w:val="0"/>
              <w:marRight w:val="0"/>
              <w:marTop w:val="90"/>
              <w:marBottom w:val="120"/>
              <w:divBdr>
                <w:top w:val="single" w:sz="6" w:space="8" w:color="CBD5E1"/>
                <w:left w:val="single" w:sz="6" w:space="11" w:color="CBD5E1"/>
                <w:bottom w:val="single" w:sz="6" w:space="8" w:color="CBD5E1"/>
                <w:right w:val="single" w:sz="6" w:space="11" w:color="CBD5E1"/>
              </w:divBdr>
              <w:divsChild>
                <w:div w:id="10635238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15922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848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079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088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7159">
      <w:marLeft w:val="0"/>
      <w:marRight w:val="0"/>
      <w:marTop w:val="180"/>
      <w:marBottom w:val="180"/>
      <w:div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divBdr>
    </w:div>
    <w:div w:id="148636095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610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00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2563EB"/>
                <w:bottom w:val="none" w:sz="0" w:space="0" w:color="auto"/>
                <w:right w:val="none" w:sz="0" w:space="0" w:color="auto"/>
              </w:divBdr>
              <w:divsChild>
                <w:div w:id="107284995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595343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31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424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7819">
              <w:marLeft w:val="0"/>
              <w:marRight w:val="0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03230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7007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268821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632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— Sistemas Rouché-Frobenius con parámetro</dc:title>
  <dc:subject/>
  <dc:creator>Fernando Alcaide Guindo</dc:creator>
  <cp:keywords/>
  <dc:description/>
  <cp:lastModifiedBy>Fernando Alcaide Guindo</cp:lastModifiedBy>
  <cp:revision>2</cp:revision>
  <dcterms:created xsi:type="dcterms:W3CDTF">2026-07-06T15:09:00Z</dcterms:created>
  <dcterms:modified xsi:type="dcterms:W3CDTF">2026-07-06T15:09:00Z</dcterms:modified>
</cp:coreProperties>
</file>