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b/>
          <w:bCs/>
          <w:color w:val="0B2545"/>
          <w:sz w:val="72"/>
          <w:szCs w:val="72"/>
        </w:rPr>
        <w:t xml:space="preserve">Vegl</w:t>
      </w:r>
    </w:p>
    <w:p>
      <w:pPr>
        <w:spacing w:after="0" w:before="0"/>
        <w:jc w:val="center"/>
      </w:pPr>
      <w:r>
        <w:rPr>
          <w:rFonts w:ascii="Arial" w:cs="Arial" w:eastAsia="Arial" w:hAnsi="Arial"/>
          <w:b/>
          <w:bCs/>
          <w:color w:val="2DA67D"/>
          <w:sz w:val="72"/>
          <w:szCs w:val="72"/>
        </w:rPr>
        <w:t xml:space="preserve">·ia</w:t>
      </w:r>
    </w:p>
    <w:p>
      <w:pPr>
        <w:spacing w:after="0" w:before="80"/>
        <w:jc w:val="center"/>
      </w:pPr>
      <w:r>
        <w:rPr>
          <w:rFonts w:ascii="Arial" w:cs="Arial" w:eastAsia="Arial" w:hAnsi="Arial"/>
          <w:i/>
          <w:iCs/>
          <w:color w:val="C9A96E"/>
          <w:sz w:val="22"/>
          <w:szCs w:val="22"/>
        </w:rPr>
        <w:t xml:space="preserve">Plataforma de Compliance Preventivo Corporativo</w:t>
      </w:r>
    </w:p>
    <w:p>
      <w:pPr>
        <w:spacing w:after="0" w:before="80"/>
      </w:pPr>
      <w:r>
        <w:t xml:space="preserve"/>
      </w:r>
    </w:p>
    <w:p>
      <w:pPr>
        <w:spacing w:after="0" w:before="0"/>
        <w:jc w:val="center"/>
      </w:pPr>
      <w:r>
        <w:rPr>
          <w:rFonts w:ascii="Arial" w:cs="Arial" w:eastAsia="Arial" w:hAnsi="Arial"/>
          <w:b/>
          <w:bCs/>
          <w:color w:val="2DA67D"/>
          <w:sz w:val="22"/>
          <w:szCs w:val="22"/>
        </w:rPr>
        <w:t xml:space="preserve">TRILHA NR-1</w:t>
      </w:r>
    </w:p>
    <w:p>
      <w:pPr>
        <w:spacing w:after="0" w:before="360"/>
      </w:pPr>
      <w:r>
        <w:t xml:space="preserve"/>
      </w:r>
    </w:p>
    <w:p>
      <w:pPr>
        <w:pBdr>
          <w:top w:val="single" w:color="2DA67D" w:sz="4" w:space="4"/>
          <w:bottom w:val="single" w:color="2DA67D" w:sz="4" w:space="4"/>
        </w:pBdr>
        <w:spacing w:after="0" w:before="0"/>
        <w:jc w:val="center"/>
      </w:pPr>
      <w:r>
        <w:rPr>
          <w:rFonts w:ascii="Arial" w:cs="Arial" w:eastAsia="Arial" w:hAnsi="Arial"/>
          <w:b/>
          <w:bCs/>
          <w:color w:val="0B2545"/>
          <w:sz w:val="26"/>
          <w:szCs w:val="26"/>
        </w:rPr>
        <w:t xml:space="preserve">  MÓDULO 2 — GERENCIAMENTO DE RISCOS OCUPACIONAIS E O PGR  </w:t>
      </w:r>
    </w:p>
    <w:p>
      <w:pPr>
        <w:spacing w:after="0" w:before="120"/>
      </w:pPr>
      <w:r>
        <w:t xml:space="preserve"/>
      </w:r>
    </w:p>
    <w:p>
      <w:pPr>
        <w:spacing w:after="80" w:before="0"/>
        <w:jc w:val="center"/>
      </w:pPr>
      <w:r>
        <w:rPr>
          <w:rFonts w:ascii="Arial" w:cs="Arial" w:eastAsia="Arial" w:hAnsi="Arial"/>
          <w:color w:val="1A3A5C"/>
          <w:sz w:val="22"/>
          <w:szCs w:val="22"/>
        </w:rPr>
        <w:t xml:space="preserve">Percurso Colaborador CLT  ·  Percurso Gestor de RH</w:t>
      </w:r>
    </w:p>
    <w:p>
      <w:pPr>
        <w:spacing w:after="80" w:before="0"/>
        <w:jc w:val="center"/>
      </w:pPr>
      <w:r>
        <w:rPr>
          <w:rFonts w:ascii="Arial" w:cs="Arial" w:eastAsia="Arial" w:hAnsi="Arial"/>
          <w:color w:val="C9A96E"/>
          <w:sz w:val="20"/>
          <w:szCs w:val="20"/>
        </w:rPr>
        <w:t xml:space="preserve">Texto · Quiz de Fixação · Roteiro de Vídeo-Aula</w:t>
      </w:r>
    </w:p>
    <w:p>
      <w:pPr>
        <w:spacing w:after="0" w:before="5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3A5C"/>
                <w:sz w:val="18"/>
                <w:szCs w:val="18"/>
              </w:rPr>
              <w:t xml:space="preserve">Powered by Vacivitta</w:t>
            </w:r>
          </w:p>
        </w:tc>
        <w:tc>
          <w:tcPr>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1A3A5C"/>
                <w:sz w:val="18"/>
                <w:szCs w:val="18"/>
              </w:rPr>
              <w:t xml:space="preserve">v1.0 · 2026</w:t>
            </w:r>
          </w:p>
        </w:tc>
      </w:tr>
    </w:tbl>
    <w:p>
      <w:r>
        <w:br w:type="page"/>
      </w:r>
    </w:p>
    <w:p>
      <w:pPr>
        <w:pStyle w:val="Heading1"/>
        <w:spacing w:after="160" w:before="360"/>
      </w:pPr>
      <w:r>
        <w:rPr>
          <w:rFonts w:ascii="Arial" w:cs="Arial" w:eastAsia="Arial" w:hAnsi="Arial"/>
          <w:b/>
          <w:bCs/>
          <w:color w:val="0B2545"/>
          <w:sz w:val="34"/>
          <w:szCs w:val="34"/>
        </w:rPr>
        <w:t xml:space="preserve">Índice</w:t>
      </w:r>
    </w:p>
    <w:p>
      <w:pPr>
        <w:spacing w:after="0" w:before="60"/>
      </w:pPr>
      <w:r>
        <w:t xml:space="preserve"/>
      </w:r>
    </w:p>
    <w:p>
      <w:pPr>
        <w:spacing w:after="60" w:before="200"/>
      </w:pPr>
      <w:r>
        <w:rPr>
          <w:rFonts w:ascii="Arial" w:cs="Arial" w:eastAsia="Arial" w:hAnsi="Arial"/>
          <w:b/>
          <w:bCs/>
          <w:color w:val="C9A96E"/>
          <w:sz w:val="18"/>
          <w:szCs w:val="18"/>
        </w:rPr>
        <w:t xml:space="preserve">PERCURSO COLABORADOR CLT</w:t>
      </w:r>
    </w:p>
    <w:p>
      <w:pPr>
        <w:tabs>
          <w:tab w:val="right" w:pos="9026"/>
        </w:tabs>
        <w:spacing w:after="40" w:before="40"/>
      </w:pPr>
      <w:r>
        <w:rPr>
          <w:rFonts w:ascii="Arial" w:cs="Arial" w:eastAsia="Arial" w:hAnsi="Arial"/>
          <w:color w:val="1A1A1A"/>
          <w:sz w:val="20"/>
          <w:szCs w:val="20"/>
        </w:rPr>
        <w:t xml:space="preserve">1. Sobre este módulo</w:t>
      </w:r>
      <w:r>
        <w:rPr>
          <w:rFonts w:ascii="Arial" w:cs="Arial" w:eastAsia="Arial" w:hAnsi="Arial"/>
          <w:color w:val="1A3A5C"/>
          <w:sz w:val="20"/>
          <w:szCs w:val="20"/>
        </w:rPr>
        <w:t xml:space="preserve">	3</w:t>
      </w:r>
    </w:p>
    <w:p>
      <w:pPr>
        <w:tabs>
          <w:tab w:val="right" w:pos="9026"/>
        </w:tabs>
        <w:spacing w:after="40" w:before="40"/>
      </w:pPr>
      <w:r>
        <w:rPr>
          <w:rFonts w:ascii="Arial" w:cs="Arial" w:eastAsia="Arial" w:hAnsi="Arial"/>
          <w:color w:val="1A1A1A"/>
          <w:sz w:val="20"/>
          <w:szCs w:val="20"/>
        </w:rPr>
        <w:t xml:space="preserve">2. O que é o GRO e por que ele existe</w:t>
      </w:r>
      <w:r>
        <w:rPr>
          <w:rFonts w:ascii="Arial" w:cs="Arial" w:eastAsia="Arial" w:hAnsi="Arial"/>
          <w:color w:val="1A3A5C"/>
          <w:sz w:val="20"/>
          <w:szCs w:val="20"/>
        </w:rPr>
        <w:t xml:space="preserve">	3</w:t>
      </w:r>
    </w:p>
    <w:p>
      <w:pPr>
        <w:tabs>
          <w:tab w:val="right" w:pos="9026"/>
        </w:tabs>
        <w:spacing w:after="40" w:before="40"/>
      </w:pPr>
      <w:r>
        <w:rPr>
          <w:rFonts w:ascii="Arial" w:cs="Arial" w:eastAsia="Arial" w:hAnsi="Arial"/>
          <w:color w:val="1A1A1A"/>
          <w:sz w:val="20"/>
          <w:szCs w:val="20"/>
        </w:rPr>
        <w:t xml:space="preserve">3. As cinco categorias de risco ocupacional</w:t>
      </w:r>
      <w:r>
        <w:rPr>
          <w:rFonts w:ascii="Arial" w:cs="Arial" w:eastAsia="Arial" w:hAnsi="Arial"/>
          <w:color w:val="1A3A5C"/>
          <w:sz w:val="20"/>
          <w:szCs w:val="20"/>
        </w:rPr>
        <w:t xml:space="preserve">	4</w:t>
      </w:r>
    </w:p>
    <w:p>
      <w:pPr>
        <w:tabs>
          <w:tab w:val="right" w:pos="9026"/>
        </w:tabs>
        <w:spacing w:after="40" w:before="40"/>
      </w:pPr>
      <w:r>
        <w:rPr>
          <w:rFonts w:ascii="Arial" w:cs="Arial" w:eastAsia="Arial" w:hAnsi="Arial"/>
          <w:color w:val="1A1A1A"/>
          <w:sz w:val="20"/>
          <w:szCs w:val="20"/>
        </w:rPr>
        <w:t xml:space="preserve">4. Como os riscos são controlados — a hierarquia de controles</w:t>
      </w:r>
      <w:r>
        <w:rPr>
          <w:rFonts w:ascii="Arial" w:cs="Arial" w:eastAsia="Arial" w:hAnsi="Arial"/>
          <w:color w:val="1A3A5C"/>
          <w:sz w:val="20"/>
          <w:szCs w:val="20"/>
        </w:rPr>
        <w:t xml:space="preserve">	5</w:t>
      </w:r>
    </w:p>
    <w:p>
      <w:pPr>
        <w:tabs>
          <w:tab w:val="right" w:pos="9026"/>
        </w:tabs>
        <w:spacing w:after="40" w:before="40"/>
      </w:pPr>
      <w:r>
        <w:rPr>
          <w:rFonts w:ascii="Arial" w:cs="Arial" w:eastAsia="Arial" w:hAnsi="Arial"/>
          <w:color w:val="1A1A1A"/>
          <w:sz w:val="20"/>
          <w:szCs w:val="20"/>
        </w:rPr>
        <w:t xml:space="preserve">5. O PGR e o que ele significa para você</w:t>
      </w:r>
      <w:r>
        <w:rPr>
          <w:rFonts w:ascii="Arial" w:cs="Arial" w:eastAsia="Arial" w:hAnsi="Arial"/>
          <w:color w:val="1A3A5C"/>
          <w:sz w:val="20"/>
          <w:szCs w:val="20"/>
        </w:rPr>
        <w:t xml:space="preserve">	6</w:t>
      </w:r>
    </w:p>
    <w:p>
      <w:pPr>
        <w:tabs>
          <w:tab w:val="right" w:pos="9026"/>
        </w:tabs>
        <w:spacing w:after="40" w:before="40"/>
      </w:pPr>
      <w:r>
        <w:rPr>
          <w:rFonts w:ascii="Arial" w:cs="Arial" w:eastAsia="Arial" w:hAnsi="Arial"/>
          <w:color w:val="1A1A1A"/>
          <w:sz w:val="20"/>
          <w:szCs w:val="20"/>
        </w:rPr>
        <w:t xml:space="preserve">6. Sua participação no GRO</w:t>
      </w:r>
      <w:r>
        <w:rPr>
          <w:rFonts w:ascii="Arial" w:cs="Arial" w:eastAsia="Arial" w:hAnsi="Arial"/>
          <w:color w:val="1A3A5C"/>
          <w:sz w:val="20"/>
          <w:szCs w:val="20"/>
        </w:rPr>
        <w:t xml:space="preserve">	7</w:t>
      </w:r>
    </w:p>
    <w:p>
      <w:pPr>
        <w:tabs>
          <w:tab w:val="right" w:pos="9026"/>
        </w:tabs>
        <w:spacing w:after="40" w:before="40"/>
      </w:pPr>
      <w:r>
        <w:rPr>
          <w:rFonts w:ascii="Arial" w:cs="Arial" w:eastAsia="Arial" w:hAnsi="Arial"/>
          <w:color w:val="1A1A1A"/>
          <w:sz w:val="20"/>
          <w:szCs w:val="20"/>
        </w:rPr>
        <w:t xml:space="preserve">7. Quiz de Fixação — Colaborador</w:t>
      </w:r>
      <w:r>
        <w:rPr>
          <w:rFonts w:ascii="Arial" w:cs="Arial" w:eastAsia="Arial" w:hAnsi="Arial"/>
          <w:color w:val="1A3A5C"/>
          <w:sz w:val="20"/>
          <w:szCs w:val="20"/>
        </w:rPr>
        <w:t xml:space="preserve">	8</w:t>
      </w:r>
    </w:p>
    <w:p>
      <w:pPr>
        <w:spacing w:after="0" w:before="40"/>
      </w:pPr>
      <w:r>
        <w:t xml:space="preserve"/>
      </w:r>
    </w:p>
    <w:p>
      <w:pPr>
        <w:spacing w:after="60" w:before="200"/>
      </w:pPr>
      <w:r>
        <w:rPr>
          <w:rFonts w:ascii="Arial" w:cs="Arial" w:eastAsia="Arial" w:hAnsi="Arial"/>
          <w:b/>
          <w:bCs/>
          <w:color w:val="C9A96E"/>
          <w:sz w:val="18"/>
          <w:szCs w:val="18"/>
        </w:rPr>
        <w:t xml:space="preserve">PERCURSO GESTOR DE RH</w:t>
      </w:r>
    </w:p>
    <w:p>
      <w:pPr>
        <w:tabs>
          <w:tab w:val="right" w:pos="9026"/>
        </w:tabs>
        <w:spacing w:after="40" w:before="40"/>
      </w:pPr>
      <w:r>
        <w:rPr>
          <w:rFonts w:ascii="Arial" w:cs="Arial" w:eastAsia="Arial" w:hAnsi="Arial"/>
          <w:color w:val="1A1A1A"/>
          <w:sz w:val="20"/>
          <w:szCs w:val="20"/>
        </w:rPr>
        <w:t xml:space="preserve">8. Visão geral do módulo</w:t>
      </w:r>
      <w:r>
        <w:rPr>
          <w:rFonts w:ascii="Arial" w:cs="Arial" w:eastAsia="Arial" w:hAnsi="Arial"/>
          <w:color w:val="1A3A5C"/>
          <w:sz w:val="20"/>
          <w:szCs w:val="20"/>
        </w:rPr>
        <w:t xml:space="preserve">	10</w:t>
      </w:r>
    </w:p>
    <w:p>
      <w:pPr>
        <w:tabs>
          <w:tab w:val="right" w:pos="9026"/>
        </w:tabs>
        <w:spacing w:after="40" w:before="40"/>
      </w:pPr>
      <w:r>
        <w:rPr>
          <w:rFonts w:ascii="Arial" w:cs="Arial" w:eastAsia="Arial" w:hAnsi="Arial"/>
          <w:color w:val="1A1A1A"/>
          <w:sz w:val="20"/>
          <w:szCs w:val="20"/>
        </w:rPr>
        <w:t xml:space="preserve">9. O ciclo do GRO em detalhe</w:t>
      </w:r>
      <w:r>
        <w:rPr>
          <w:rFonts w:ascii="Arial" w:cs="Arial" w:eastAsia="Arial" w:hAnsi="Arial"/>
          <w:color w:val="1A3A5C"/>
          <w:sz w:val="20"/>
          <w:szCs w:val="20"/>
        </w:rPr>
        <w:t xml:space="preserve">	10</w:t>
      </w:r>
    </w:p>
    <w:p>
      <w:pPr>
        <w:tabs>
          <w:tab w:val="right" w:pos="9026"/>
        </w:tabs>
        <w:spacing w:after="40" w:before="40"/>
      </w:pPr>
      <w:r>
        <w:rPr>
          <w:rFonts w:ascii="Arial" w:cs="Arial" w:eastAsia="Arial" w:hAnsi="Arial"/>
          <w:color w:val="1A1A1A"/>
          <w:sz w:val="20"/>
          <w:szCs w:val="20"/>
        </w:rPr>
        <w:t xml:space="preserve">10. Estrutura obrigatória do PGR</w:t>
      </w:r>
      <w:r>
        <w:rPr>
          <w:rFonts w:ascii="Arial" w:cs="Arial" w:eastAsia="Arial" w:hAnsi="Arial"/>
          <w:color w:val="1A3A5C"/>
          <w:sz w:val="20"/>
          <w:szCs w:val="20"/>
        </w:rPr>
        <w:t xml:space="preserve">	12</w:t>
      </w:r>
    </w:p>
    <w:p>
      <w:pPr>
        <w:tabs>
          <w:tab w:val="right" w:pos="9026"/>
        </w:tabs>
        <w:spacing w:after="40" w:before="40"/>
      </w:pPr>
      <w:r>
        <w:rPr>
          <w:rFonts w:ascii="Arial" w:cs="Arial" w:eastAsia="Arial" w:hAnsi="Arial"/>
          <w:color w:val="1A1A1A"/>
          <w:sz w:val="20"/>
          <w:szCs w:val="20"/>
        </w:rPr>
        <w:t xml:space="preserve">11. Integração GRO-PCMSO</w:t>
      </w:r>
      <w:r>
        <w:rPr>
          <w:rFonts w:ascii="Arial" w:cs="Arial" w:eastAsia="Arial" w:hAnsi="Arial"/>
          <w:color w:val="1A3A5C"/>
          <w:sz w:val="20"/>
          <w:szCs w:val="20"/>
        </w:rPr>
        <w:t xml:space="preserve">	13</w:t>
      </w:r>
    </w:p>
    <w:p>
      <w:pPr>
        <w:tabs>
          <w:tab w:val="right" w:pos="9026"/>
        </w:tabs>
        <w:spacing w:after="40" w:before="40"/>
      </w:pPr>
      <w:r>
        <w:rPr>
          <w:rFonts w:ascii="Arial" w:cs="Arial" w:eastAsia="Arial" w:hAnsi="Arial"/>
          <w:color w:val="1A1A1A"/>
          <w:sz w:val="20"/>
          <w:szCs w:val="20"/>
        </w:rPr>
        <w:t xml:space="preserve">12. Inventário de riscos — metodologia e documentação</w:t>
      </w:r>
      <w:r>
        <w:rPr>
          <w:rFonts w:ascii="Arial" w:cs="Arial" w:eastAsia="Arial" w:hAnsi="Arial"/>
          <w:color w:val="1A3A5C"/>
          <w:sz w:val="20"/>
          <w:szCs w:val="20"/>
        </w:rPr>
        <w:t xml:space="preserve">	14</w:t>
      </w:r>
    </w:p>
    <w:p>
      <w:pPr>
        <w:tabs>
          <w:tab w:val="right" w:pos="9026"/>
        </w:tabs>
        <w:spacing w:after="40" w:before="40"/>
      </w:pPr>
      <w:r>
        <w:rPr>
          <w:rFonts w:ascii="Arial" w:cs="Arial" w:eastAsia="Arial" w:hAnsi="Arial"/>
          <w:color w:val="1A1A1A"/>
          <w:sz w:val="20"/>
          <w:szCs w:val="20"/>
        </w:rPr>
        <w:t xml:space="preserve">13. Quiz de Fixação — Gestor</w:t>
      </w:r>
      <w:r>
        <w:rPr>
          <w:rFonts w:ascii="Arial" w:cs="Arial" w:eastAsia="Arial" w:hAnsi="Arial"/>
          <w:color w:val="1A3A5C"/>
          <w:sz w:val="20"/>
          <w:szCs w:val="20"/>
        </w:rPr>
        <w:t xml:space="preserve">	15</w:t>
      </w:r>
    </w:p>
    <w:p>
      <w:pPr>
        <w:spacing w:after="0" w:before="40"/>
      </w:pPr>
      <w:r>
        <w:t xml:space="preserve"/>
      </w:r>
    </w:p>
    <w:p>
      <w:pPr>
        <w:spacing w:after="60" w:before="200"/>
      </w:pPr>
      <w:r>
        <w:rPr>
          <w:rFonts w:ascii="Arial" w:cs="Arial" w:eastAsia="Arial" w:hAnsi="Arial"/>
          <w:b/>
          <w:bCs/>
          <w:color w:val="C9A96E"/>
          <w:sz w:val="18"/>
          <w:szCs w:val="18"/>
        </w:rPr>
        <w:t xml:space="preserve">ROTEIRO DE VÍDEO-AULA</w:t>
      </w:r>
    </w:p>
    <w:p>
      <w:pPr>
        <w:tabs>
          <w:tab w:val="right" w:pos="9026"/>
        </w:tabs>
        <w:spacing w:after="40" w:before="40"/>
      </w:pPr>
      <w:r>
        <w:rPr>
          <w:rFonts w:ascii="Arial" w:cs="Arial" w:eastAsia="Arial" w:hAnsi="Arial"/>
          <w:color w:val="1A1A1A"/>
          <w:sz w:val="20"/>
          <w:szCs w:val="20"/>
        </w:rPr>
        <w:t xml:space="preserve">14. Roteiro — Percurso Colaborador (5 min)</w:t>
      </w:r>
      <w:r>
        <w:rPr>
          <w:rFonts w:ascii="Arial" w:cs="Arial" w:eastAsia="Arial" w:hAnsi="Arial"/>
          <w:color w:val="1A3A5C"/>
          <w:sz w:val="20"/>
          <w:szCs w:val="20"/>
        </w:rPr>
        <w:t xml:space="preserve">	17</w:t>
      </w:r>
    </w:p>
    <w:p>
      <w:pPr>
        <w:tabs>
          <w:tab w:val="right" w:pos="9026"/>
        </w:tabs>
        <w:spacing w:after="40" w:before="40"/>
      </w:pPr>
      <w:r>
        <w:rPr>
          <w:rFonts w:ascii="Arial" w:cs="Arial" w:eastAsia="Arial" w:hAnsi="Arial"/>
          <w:color w:val="1A1A1A"/>
          <w:sz w:val="20"/>
          <w:szCs w:val="20"/>
        </w:rPr>
        <w:t xml:space="preserve">15. Roteiro — Percurso Gestor (7 min)</w:t>
      </w:r>
      <w:r>
        <w:rPr>
          <w:rFonts w:ascii="Arial" w:cs="Arial" w:eastAsia="Arial" w:hAnsi="Arial"/>
          <w:color w:val="1A3A5C"/>
          <w:sz w:val="20"/>
          <w:szCs w:val="20"/>
        </w:rPr>
        <w:t xml:space="preserve">	19</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280"/>
              <w:left w:type="dxa" w:w="360"/>
              <w:bottom w:type="dxa" w:w="280"/>
              <w:right w:type="dxa" w:w="360"/>
            </w:tcMar>
          </w:tcPr>
          <w:p>
            <w:pPr>
              <w:spacing w:after="60" w:before="0"/>
            </w:pPr>
            <w:r>
              <w:rPr>
                <w:rFonts w:ascii="Arial" w:cs="Arial" w:eastAsia="Arial" w:hAnsi="Arial"/>
                <w:b/>
                <w:bCs/>
                <w:color w:val="C9A96E"/>
                <w:sz w:val="16"/>
                <w:szCs w:val="16"/>
              </w:rPr>
              <w:t xml:space="preserve">PERCURSO COLABORADOR CLT — TRILHA NR-1</w:t>
            </w:r>
          </w:p>
          <w:p>
            <w:pPr>
              <w:spacing w:after="60" w:before="0"/>
            </w:pPr>
            <w:r>
              <w:rPr>
                <w:rFonts w:ascii="Arial" w:cs="Arial" w:eastAsia="Arial" w:hAnsi="Arial"/>
                <w:b/>
                <w:bCs/>
                <w:color w:val="FFFFFF"/>
                <w:sz w:val="32"/>
                <w:szCs w:val="32"/>
              </w:rPr>
              <w:t xml:space="preserve">GRO e PGR: como sua empresa identifica e controla os riscos do trabalho.</w:t>
            </w:r>
          </w:p>
          <w:p>
            <w:pPr>
              <w:spacing w:after="0" w:before="0"/>
            </w:pPr>
            <w:r>
              <w:rPr>
                <w:rFonts w:ascii="Arial" w:cs="Arial" w:eastAsia="Arial" w:hAnsi="Arial"/>
                <w:i/>
                <w:iCs/>
                <w:color w:val="AABBCC"/>
                <w:sz w:val="20"/>
                <w:szCs w:val="20"/>
              </w:rPr>
              <w:t xml:space="preserve">Linguagem acessível · Foco em categorias de risco, hierarquia de controles e participação</w:t>
            </w:r>
          </w:p>
        </w:tc>
      </w:tr>
    </w:tbl>
    <w:p>
      <w:pPr>
        <w:spacing w:after="0" w:before="200"/>
      </w:pPr>
      <w:r>
        <w:t xml:space="preserve"/>
      </w:r>
    </w:p>
    <w:p>
      <w:pPr>
        <w:spacing w:after="40" w:before="240"/>
      </w:pPr>
      <w:r>
        <w:rPr>
          <w:rFonts w:ascii="Arial" w:cs="Arial" w:eastAsia="Arial" w:hAnsi="Arial"/>
          <w:b/>
          <w:bCs/>
          <w:color w:val="C9A96E"/>
          <w:sz w:val="16"/>
          <w:szCs w:val="16"/>
        </w:rPr>
        <w:t xml:space="preserve">SEÇÃO 1</w:t>
      </w:r>
    </w:p>
    <w:p>
      <w:pPr>
        <w:pStyle w:val="Heading2"/>
        <w:pBdr>
          <w:bottom w:val="single" w:color="2DA67D" w:sz="4" w:space="4"/>
        </w:pBdr>
        <w:spacing w:after="120" w:before="280"/>
      </w:pPr>
      <w:r>
        <w:rPr>
          <w:rFonts w:ascii="Arial" w:cs="Arial" w:eastAsia="Arial" w:hAnsi="Arial"/>
          <w:b/>
          <w:bCs/>
          <w:color w:val="1A3A5C"/>
          <w:sz w:val="26"/>
          <w:szCs w:val="26"/>
        </w:rPr>
        <w:t xml:space="preserve">Sobre este módulo</w:t>
      </w:r>
    </w:p>
    <w:p>
      <w:pPr>
        <w:spacing w:after="120" w:before="60" w:line="276"/>
        <w:jc w:val="both"/>
      </w:pPr>
      <w:r>
        <w:rPr>
          <w:rFonts w:ascii="Arial" w:cs="Arial" w:eastAsia="Arial" w:hAnsi="Arial"/>
          <w:color w:val="1A1A1A"/>
          <w:sz w:val="22"/>
          <w:szCs w:val="22"/>
        </w:rPr>
        <w:t xml:space="preserve">No Módulo 1 você aprendeu o que é a NR-1 e por que ela foi atualizada em 2025. Agora vamos ao coração da norma: o Gerenciamento de Riscos Ocupacionais — o GRO — e o documento que o registra, o Programa de Gerenciamento de Riscos — o PGR.</w:t>
      </w:r>
    </w:p>
    <w:p>
      <w:pPr>
        <w:spacing w:after="120" w:before="60" w:line="276"/>
        <w:jc w:val="both"/>
      </w:pPr>
      <w:r>
        <w:rPr>
          <w:rFonts w:ascii="Arial" w:cs="Arial" w:eastAsia="Arial" w:hAnsi="Arial"/>
          <w:color w:val="1A1A1A"/>
          <w:sz w:val="22"/>
          <w:szCs w:val="22"/>
        </w:rPr>
        <w:t xml:space="preserve">Ao terminar este módulo, você vai entender como os riscos do seu trabalho são identificados e controlados, o que o PGR é e o que ele garante a você, e como você pode participar ativamente desse processo.</w:t>
      </w:r>
    </w:p>
    <w:p>
      <w:pPr>
        <w:spacing w:after="0" w:before="120"/>
      </w:pPr>
      <w:r>
        <w:t xml:space="preserve"/>
      </w:r>
    </w:p>
    <w:p>
      <w:pPr>
        <w:spacing w:after="40" w:before="240"/>
      </w:pPr>
      <w:r>
        <w:rPr>
          <w:rFonts w:ascii="Arial" w:cs="Arial" w:eastAsia="Arial" w:hAnsi="Arial"/>
          <w:b/>
          <w:bCs/>
          <w:color w:val="C9A96E"/>
          <w:sz w:val="16"/>
          <w:szCs w:val="16"/>
        </w:rPr>
        <w:t xml:space="preserve">SEÇÃO 2</w:t>
      </w:r>
    </w:p>
    <w:p>
      <w:pPr>
        <w:pStyle w:val="Heading2"/>
        <w:pBdr>
          <w:bottom w:val="single" w:color="2DA67D" w:sz="4" w:space="4"/>
        </w:pBdr>
        <w:spacing w:after="120" w:before="280"/>
      </w:pPr>
      <w:r>
        <w:rPr>
          <w:rFonts w:ascii="Arial" w:cs="Arial" w:eastAsia="Arial" w:hAnsi="Arial"/>
          <w:b/>
          <w:bCs/>
          <w:color w:val="1A3A5C"/>
          <w:sz w:val="26"/>
          <w:szCs w:val="26"/>
        </w:rPr>
        <w:t xml:space="preserve">O que é o GRO e por que ele existe</w:t>
      </w:r>
    </w:p>
    <w:p>
      <w:pPr>
        <w:spacing w:after="120" w:before="60" w:line="276"/>
        <w:jc w:val="both"/>
      </w:pPr>
      <w:r>
        <w:rPr>
          <w:rFonts w:ascii="Arial" w:cs="Arial" w:eastAsia="Arial" w:hAnsi="Arial"/>
          <w:color w:val="1A1A1A"/>
          <w:sz w:val="22"/>
          <w:szCs w:val="22"/>
        </w:rPr>
        <w:t xml:space="preserve">Todo ambiente de trabalho tem riscos. Uma fábrica tem riscos de acidente com máquinas. Um escritório tem riscos ergonômicos. Uma clínica de saúde tem riscos biológicos. Um call center tem riscos psicossociais ligados à pressão por metas e ao trabalho emocional intenso.</w:t>
      </w:r>
    </w:p>
    <w:p>
      <w:pPr>
        <w:spacing w:after="120" w:before="60" w:line="276"/>
        <w:jc w:val="both"/>
      </w:pPr>
      <w:r>
        <w:rPr>
          <w:rFonts w:ascii="Arial" w:cs="Arial" w:eastAsia="Arial" w:hAnsi="Arial"/>
          <w:color w:val="1A1A1A"/>
          <w:sz w:val="22"/>
          <w:szCs w:val="22"/>
        </w:rPr>
        <w:t xml:space="preserve">O Gerenciamento de Riscos Ocupacionais — GRO — é o processo que a empresa deve seguir para identificar esses riscos, avaliá-los, controlá-los e monitorar se as medidas adotadas estão funcionando. Não é uma tarefa feita uma vez por ano — é um processo contínuo, que precisa ser revisado sempre que algo muda no ambiente de trabalho.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A67D" w:sz="16"/>
              <w:bottom w:val="none" w:color="FFFFFF" w:sz="0"/>
              <w:right w:val="none" w:color="FFFFFF" w:sz="0"/>
            </w:tcBorders>
            <w:shd w:fill="F4EDE0" w:val="clear"/>
            <w:tcMar>
              <w:top w:type="dxa" w:w="160"/>
              <w:left w:type="dxa" w:w="240"/>
              <w:bottom w:type="dxa" w:w="160"/>
              <w:right w:type="dxa" w:w="240"/>
            </w:tcMar>
          </w:tcPr>
          <w:p>
            <w:pPr>
              <w:spacing w:after="60" w:before="0"/>
            </w:pPr>
            <w:r>
              <w:rPr>
                <w:rFonts w:ascii="Arial" w:cs="Arial" w:eastAsia="Arial" w:hAnsi="Arial"/>
                <w:b/>
                <w:bCs/>
                <w:color w:val="2DA67D"/>
                <w:sz w:val="16"/>
                <w:szCs w:val="16"/>
              </w:rPr>
              <w:t xml:space="preserve">A DIFERENÇA ENTRE PERIGO E RISCO</w:t>
            </w:r>
          </w:p>
          <w:p>
            <w:pPr>
              <w:spacing w:after="0" w:before="0" w:line="276"/>
              <w:jc w:val="both"/>
            </w:pPr>
            <w:r>
              <w:rPr>
                <w:rFonts w:ascii="Arial" w:cs="Arial" w:eastAsia="Arial" w:hAnsi="Arial"/>
                <w:color w:val="1A3A5C"/>
                <w:sz w:val="22"/>
                <w:szCs w:val="22"/>
              </w:rPr>
              <w:t xml:space="preserve">Perigo é a fonte do problema — uma máquina sem proteção, um produto químico, um gestor com comportamento abusivo. Risco é a probabilidade de esse perigo causar dano — levando em conta a frequência de exposição, a gravidade do dano possível e o número de pessoas afetadas. O GRO lida com ambos: identifica os perigos e avalia os riscos.</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3</w:t>
      </w:r>
    </w:p>
    <w:p>
      <w:pPr>
        <w:pStyle w:val="Heading2"/>
        <w:pBdr>
          <w:bottom w:val="single" w:color="2DA67D" w:sz="4" w:space="4"/>
        </w:pBdr>
        <w:spacing w:after="120" w:before="280"/>
      </w:pPr>
      <w:r>
        <w:rPr>
          <w:rFonts w:ascii="Arial" w:cs="Arial" w:eastAsia="Arial" w:hAnsi="Arial"/>
          <w:b/>
          <w:bCs/>
          <w:color w:val="1A3A5C"/>
          <w:sz w:val="26"/>
          <w:szCs w:val="26"/>
        </w:rPr>
        <w:t xml:space="preserve">As cinco categorias de risco ocupacional</w:t>
      </w:r>
    </w:p>
    <w:p>
      <w:pPr>
        <w:spacing w:after="120" w:before="60" w:line="276"/>
        <w:jc w:val="both"/>
      </w:pPr>
      <w:r>
        <w:rPr>
          <w:rFonts w:ascii="Arial" w:cs="Arial" w:eastAsia="Arial" w:hAnsi="Arial"/>
          <w:color w:val="1A1A1A"/>
          <w:sz w:val="22"/>
          <w:szCs w:val="22"/>
        </w:rPr>
        <w:t xml:space="preserve">A NR-1 classifica os riscos ocupacionais em cinco grandes categorias. Conhecê-las ajuda você a identificar os riscos presentes no seu próprio ambiente de trabalho: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W w:w="9026" w:type="dxa"/>
          </w:tcPr>
          <w:p>
            <w:r>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2545"/>
                <w:sz w:val="19"/>
                <w:szCs w:val="19"/>
              </w:rPr>
              <w:t xml:space="preserve">Físicos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Ruído excessivo, calor ou frio intenso, vibrações, radiações ionizantes e não ionizantes, pressão anormal.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Proteção coletiva (isolamento, ventilação), EPI (protetor auricular, óculos), limite de exposição diária.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B2545"/>
                <w:sz w:val="19"/>
                <w:szCs w:val="19"/>
              </w:rPr>
              <w:t xml:space="preserve">Químicos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Poeiras, fumaças, névoas, gases, vapores tóxicos, produtos de limpeza concentrados, solventes, pesticidas.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Substituição do produto, ventilação local exaustora, EPI respiratório (máscara, respirador).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2545"/>
                <w:sz w:val="19"/>
                <w:szCs w:val="19"/>
              </w:rPr>
              <w:t xml:space="preserve">Biológicos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Vírus, bactérias, fungos, parasitas — presentes em serviços de saúde, alimentação, saneamento e contato com animais.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Vacinação, EPI de barreira (luvas, máscara), higienização rigorosa, segregação de resíduos.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B2545"/>
                <w:sz w:val="19"/>
                <w:szCs w:val="19"/>
              </w:rPr>
              <w:t xml:space="preserve">Ergonômicos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Postura inadequada, esforço repetitivo, levantamento de peso, trabalho em pé por tempo prolongado, jornada excessiva, ritmo intenso.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Adequação de mobiliário e equipamentos, pausas programadas, rodízio de funções, ginástica laboral.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2545"/>
                <w:sz w:val="19"/>
                <w:szCs w:val="19"/>
              </w:rPr>
              <w:t xml:space="preserve">Psicossociais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Sobrecarga de trabalho, pressão por metas, assédio moral ou sexual, insegurança no emprego, falta de autonomia, trabalho emocional excessivo.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Reorganização do trabalho, treinamento de lideranças, canais de denúncia, programa de saúde mental.</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A67D" w:sz="16"/>
              <w:bottom w:val="none" w:color="FFFFFF" w:sz="0"/>
              <w:right w:val="none" w:color="FFFFFF" w:sz="0"/>
            </w:tcBorders>
            <w:shd w:fill="F4EDE0" w:val="clear"/>
            <w:tcMar>
              <w:top w:type="dxa" w:w="160"/>
              <w:left w:type="dxa" w:w="240"/>
              <w:bottom w:type="dxa" w:w="160"/>
              <w:right w:type="dxa" w:w="240"/>
            </w:tcMar>
          </w:tcPr>
          <w:p>
            <w:pPr>
              <w:spacing w:after="60" w:before="0"/>
            </w:pPr>
            <w:r>
              <w:rPr>
                <w:rFonts w:ascii="Arial" w:cs="Arial" w:eastAsia="Arial" w:hAnsi="Arial"/>
                <w:b/>
                <w:bCs/>
                <w:color w:val="2DA67D"/>
                <w:sz w:val="16"/>
                <w:szCs w:val="16"/>
              </w:rPr>
              <w:t xml:space="preserve">ATENÇÃO AO RISCO PSICOSSOCIAL</w:t>
            </w:r>
          </w:p>
          <w:p>
            <w:pPr>
              <w:spacing w:after="0" w:before="0" w:line="276"/>
              <w:jc w:val="both"/>
            </w:pPr>
            <w:r>
              <w:rPr>
                <w:rFonts w:ascii="Arial" w:cs="Arial" w:eastAsia="Arial" w:hAnsi="Arial"/>
                <w:color w:val="1A3A5C"/>
                <w:sz w:val="22"/>
                <w:szCs w:val="22"/>
              </w:rPr>
              <w:t xml:space="preserve">A inclusão dos riscos psicossociais na NR-1 em 2025 foi uma mudança histórica. Antes, pressão excessiva de metas ou assédio moral não eram tratados como riscos ocupacionais formais. Agora são — e a empresa é obrigada a identificá-los, avaliá-los e adotar medidas de controle, da mesma forma que faz com o ruído ou com produtos químicos.</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4</w:t>
      </w:r>
    </w:p>
    <w:p>
      <w:pPr>
        <w:pStyle w:val="Heading2"/>
        <w:pBdr>
          <w:bottom w:val="single" w:color="2DA67D" w:sz="4" w:space="4"/>
        </w:pBdr>
        <w:spacing w:after="120" w:before="280"/>
      </w:pPr>
      <w:r>
        <w:rPr>
          <w:rFonts w:ascii="Arial" w:cs="Arial" w:eastAsia="Arial" w:hAnsi="Arial"/>
          <w:b/>
          <w:bCs/>
          <w:color w:val="1A3A5C"/>
          <w:sz w:val="26"/>
          <w:szCs w:val="26"/>
        </w:rPr>
        <w:t xml:space="preserve">Como os riscos são controlados — a hierarquia de controles</w:t>
      </w:r>
    </w:p>
    <w:p>
      <w:pPr>
        <w:spacing w:after="120" w:before="60" w:line="276"/>
        <w:jc w:val="both"/>
      </w:pPr>
      <w:r>
        <w:rPr>
          <w:rFonts w:ascii="Arial" w:cs="Arial" w:eastAsia="Arial" w:hAnsi="Arial"/>
          <w:color w:val="1A1A1A"/>
          <w:sz w:val="22"/>
          <w:szCs w:val="22"/>
        </w:rPr>
        <w:t xml:space="preserve">Quando um risco é identificado, a empresa deve adotar medidas para controlá-lo. A NR-1 estabelece uma hierarquia obrigatória: as medidas mais eficazes devem ser tentadas primeiro, e o EPI — o equipamento de proteção individual — é sempre a última opção, não a primeira.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2626"/>
      </w:tblGrid>
      <w:tr>
        <w:tc>
          <w:tcPr>
            <w:tcW w:w="9026" w:type="dxa"/>
          </w:tcPr>
          <w:p>
            <w:r>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2626"/>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DA67D"/>
                <w:sz w:val="22"/>
                <w:szCs w:val="22"/>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2545"/>
                <w:sz w:val="19"/>
                <w:szCs w:val="19"/>
              </w:rPr>
              <w:t xml:space="preserve">Eliminação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Remove completamente o perigo do ambiente de trabalho. Ex.: substituir produto tóxico por alternativa segura; eliminar tarefa desnecessariamente perigosa.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Máxima — o risco deixa de existir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2626"/>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DA67D"/>
                <w:sz w:val="22"/>
                <w:szCs w:val="22"/>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B2545"/>
                <w:sz w:val="19"/>
                <w:szCs w:val="19"/>
              </w:rPr>
              <w:t xml:space="preserve">Substituição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Troca o agente perigoso por outro menos nocivo. Ex.: substituir solvente tóxico por solvente de baixa toxicidade.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Muito alta — o risco é reduzido na fonte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2626"/>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DA67D"/>
                <w:sz w:val="22"/>
                <w:szCs w:val="22"/>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2545"/>
                <w:sz w:val="19"/>
                <w:szCs w:val="19"/>
              </w:rPr>
              <w:t xml:space="preserve">Controle de engenharia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Medidas físicas que isolam o trabalhador do perigo. Ex.: enclausuramento de máquina ruidosa, ventilação local exaustora, proteção de partes móveis.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Alta — o risco é controlado no ambiente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2626"/>
      </w:tblGrid>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DA67D"/>
                <w:sz w:val="22"/>
                <w:szCs w:val="22"/>
              </w:rPr>
              <w:t xml:space="preserve">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B2545"/>
                <w:sz w:val="19"/>
                <w:szCs w:val="19"/>
              </w:rPr>
              <w:t xml:space="preserve">Controle administrativo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Mudanças na organização do trabalho. Ex.: rodízio de funções, pausas programadas, treinamento, sinalização, limitação de jornada em ambiente insalubre.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Moderada — depende de comportamento humano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00"/>
        <w:gridCol w:w="2626"/>
      </w:tblGrid>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DA67D"/>
                <w:sz w:val="22"/>
                <w:szCs w:val="22"/>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2545"/>
                <w:sz w:val="19"/>
                <w:szCs w:val="19"/>
              </w:rPr>
              <w:t xml:space="preserve">EPI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Equipamento de Proteção Individual — capacete, luvas, máscara, protetor auricular, óculos. Protege o trabalhador após exposição ao risco.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Menor — o risco continua existindo no ambiente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9A96E" w:sz="16"/>
              <w:bottom w:val="none" w:color="FFFFFF" w:sz="0"/>
              <w:right w:val="none" w:color="FFFFFF" w:sz="0"/>
            </w:tcBorders>
            <w:shd w:fill="FDF6E8" w:val="clear"/>
            <w:tcMar>
              <w:top w:type="dxa" w:w="160"/>
              <w:left w:type="dxa" w:w="240"/>
              <w:bottom w:type="dxa" w:w="160"/>
              <w:right w:type="dxa" w:w="240"/>
            </w:tcMar>
          </w:tcPr>
          <w:p>
            <w:pPr>
              <w:spacing w:after="60" w:before="0"/>
            </w:pPr>
            <w:r>
              <w:rPr>
                <w:rFonts w:ascii="Arial" w:cs="Arial" w:eastAsia="Arial" w:hAnsi="Arial"/>
                <w:b/>
                <w:bCs/>
                <w:color w:val="C9A96E"/>
                <w:sz w:val="16"/>
                <w:szCs w:val="16"/>
              </w:rPr>
              <w:t xml:space="preserve">POR QUE O EPI É O ÚLTIMO RECURSO</w:t>
            </w:r>
          </w:p>
          <w:p>
            <w:pPr>
              <w:spacing w:after="0" w:before="0" w:line="276"/>
              <w:jc w:val="both"/>
            </w:pPr>
            <w:r>
              <w:rPr>
                <w:rFonts w:ascii="Arial" w:cs="Arial" w:eastAsia="Arial" w:hAnsi="Arial"/>
                <w:color w:val="1A3A5C"/>
                <w:sz w:val="22"/>
                <w:szCs w:val="22"/>
              </w:rPr>
              <w:t xml:space="preserve">Muitas empresas tratam o EPI como solução principal — e essa é uma abordagem incorreta segundo a NR-1. O EPI protege o trabalhador mas não elimina o risco do ambiente. Se o trabalhador esquecer de usá-lo, estiver com ele danificado ou mal ajustado, a proteção cessa. Medidas de eliminação, substituição e engenharia continuam funcionando independentemente do comportamento humano.</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5</w:t>
      </w:r>
    </w:p>
    <w:p>
      <w:pPr>
        <w:pStyle w:val="Heading2"/>
        <w:pBdr>
          <w:bottom w:val="single" w:color="2DA67D" w:sz="4" w:space="4"/>
        </w:pBdr>
        <w:spacing w:after="120" w:before="280"/>
      </w:pPr>
      <w:r>
        <w:rPr>
          <w:rFonts w:ascii="Arial" w:cs="Arial" w:eastAsia="Arial" w:hAnsi="Arial"/>
          <w:b/>
          <w:bCs/>
          <w:color w:val="1A3A5C"/>
          <w:sz w:val="26"/>
          <w:szCs w:val="26"/>
        </w:rPr>
        <w:t xml:space="preserve">O PGR e o que ele significa para você</w:t>
      </w:r>
    </w:p>
    <w:p>
      <w:pPr>
        <w:spacing w:after="120" w:before="60" w:line="276"/>
        <w:jc w:val="both"/>
      </w:pPr>
      <w:r>
        <w:rPr>
          <w:rFonts w:ascii="Arial" w:cs="Arial" w:eastAsia="Arial" w:hAnsi="Arial"/>
          <w:color w:val="1A1A1A"/>
          <w:sz w:val="22"/>
          <w:szCs w:val="22"/>
        </w:rPr>
        <w:t xml:space="preserve">O Programa de Gerenciamento de Riscos — PGR — é o documento onde a empresa registra todo o trabalho do GRO: quais riscos foram identificados, como foram avaliados, quais medidas de controle foram adotadas, quem é responsável por cada medida e qual o prazo para implementação.</w:t>
      </w:r>
    </w:p>
    <w:p>
      <w:pPr>
        <w:spacing w:after="120" w:before="60" w:line="276"/>
        <w:jc w:val="both"/>
      </w:pPr>
      <w:r>
        <w:rPr>
          <w:rFonts w:ascii="Arial" w:cs="Arial" w:eastAsia="Arial" w:hAnsi="Arial"/>
          <w:color w:val="1A1A1A"/>
          <w:sz w:val="22"/>
          <w:szCs w:val="22"/>
        </w:rPr>
        <w:t xml:space="preserve">O PGR não é um documento secreto — você tem o direito de acessá-lo. Ele deve estar disponível para consulta de qualquer trabalhador e pode ser solicitado pelo MTE a qualquer momento em uma fiscalização. Se a empresa não tiver o PGR ou se ele estiver desatualizado, isso é uma infração grave.</w:t>
      </w:r>
    </w:p>
    <w:p>
      <w:pPr>
        <w:spacing w:after="0" w:before="80"/>
      </w:pPr>
      <w:r>
        <w:t xml:space="preserve"/>
      </w:r>
    </w:p>
    <w:p>
      <w:pPr>
        <w:pStyle w:val="Heading3"/>
        <w:spacing w:after="80" w:before="200"/>
      </w:pPr>
      <w:r>
        <w:rPr>
          <w:rFonts w:ascii="Arial" w:cs="Arial" w:eastAsia="Arial" w:hAnsi="Arial"/>
          <w:b/>
          <w:bCs/>
          <w:color w:val="2DA67D"/>
          <w:sz w:val="23"/>
          <w:szCs w:val="23"/>
        </w:rPr>
        <w:t xml:space="preserve">O que o PGR garante para você na prática</w:t>
      </w:r>
    </w:p>
    <w:p>
      <w:pPr>
        <w:pStyle w:val="ListParagraph"/>
        <w:numPr>
          <w:ilvl w:val="0"/>
          <w:numId w:val="2"/>
        </w:numPr>
        <w:spacing w:after="60" w:before="60" w:line="276"/>
      </w:pPr>
      <w:r>
        <w:rPr>
          <w:rFonts w:ascii="Arial" w:cs="Arial" w:eastAsia="Arial" w:hAnsi="Arial"/>
          <w:color w:val="1A1A1A"/>
          <w:sz w:val="22"/>
          <w:szCs w:val="22"/>
        </w:rPr>
        <w:t xml:space="preserve">Que os riscos do seu trabalho foram formalmente identificados — a empresa não pode alegar desconhecimento.</w:t>
      </w:r>
    </w:p>
    <w:p>
      <w:pPr>
        <w:pStyle w:val="ListParagraph"/>
        <w:numPr>
          <w:ilvl w:val="0"/>
          <w:numId w:val="2"/>
        </w:numPr>
        <w:spacing w:after="60" w:before="60" w:line="276"/>
      </w:pPr>
      <w:r>
        <w:rPr>
          <w:rFonts w:ascii="Arial" w:cs="Arial" w:eastAsia="Arial" w:hAnsi="Arial"/>
          <w:color w:val="1A1A1A"/>
          <w:sz w:val="22"/>
          <w:szCs w:val="22"/>
        </w:rPr>
        <w:t xml:space="preserve">Que existe um plano de ação com prazos para controlar esses riscos — você pode cobrar o cumprimento.</w:t>
      </w:r>
    </w:p>
    <w:p>
      <w:pPr>
        <w:pStyle w:val="ListParagraph"/>
        <w:numPr>
          <w:ilvl w:val="0"/>
          <w:numId w:val="2"/>
        </w:numPr>
        <w:spacing w:after="60" w:before="60" w:line="276"/>
      </w:pPr>
      <w:r>
        <w:rPr>
          <w:rFonts w:ascii="Arial" w:cs="Arial" w:eastAsia="Arial" w:hAnsi="Arial"/>
          <w:color w:val="1A1A1A"/>
          <w:sz w:val="22"/>
          <w:szCs w:val="22"/>
        </w:rPr>
        <w:t xml:space="preserve">Que há registro das medidas adotadas — evidência de que a empresa cumpriu sua obrigação legal.</w:t>
      </w:r>
    </w:p>
    <w:p>
      <w:pPr>
        <w:pStyle w:val="ListParagraph"/>
        <w:numPr>
          <w:ilvl w:val="0"/>
          <w:numId w:val="2"/>
        </w:numPr>
        <w:spacing w:after="60" w:before="60" w:line="276"/>
      </w:pPr>
      <w:r>
        <w:rPr>
          <w:rFonts w:ascii="Arial" w:cs="Arial" w:eastAsia="Arial" w:hAnsi="Arial"/>
          <w:color w:val="1A1A1A"/>
          <w:sz w:val="22"/>
          <w:szCs w:val="22"/>
        </w:rPr>
        <w:t xml:space="preserve">Que os exames médicos periódicos do seu cargo foram definidos com base nos riscos reais da sua função — não apenas como rotina genérica.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A67D" w:sz="16"/>
              <w:bottom w:val="none" w:color="FFFFFF" w:sz="0"/>
              <w:right w:val="none" w:color="FFFFFF" w:sz="0"/>
            </w:tcBorders>
            <w:shd w:fill="F4EDE0" w:val="clear"/>
            <w:tcMar>
              <w:top w:type="dxa" w:w="160"/>
              <w:left w:type="dxa" w:w="240"/>
              <w:bottom w:type="dxa" w:w="160"/>
              <w:right w:type="dxa" w:w="240"/>
            </w:tcMar>
          </w:tcPr>
          <w:p>
            <w:pPr>
              <w:spacing w:after="60" w:before="0"/>
            </w:pPr>
            <w:r>
              <w:rPr>
                <w:rFonts w:ascii="Arial" w:cs="Arial" w:eastAsia="Arial" w:hAnsi="Arial"/>
                <w:b/>
                <w:bCs/>
                <w:color w:val="2DA67D"/>
                <w:sz w:val="16"/>
                <w:szCs w:val="16"/>
              </w:rPr>
              <w:t xml:space="preserve">COMO SOLICITAR ACESSO AO PGR</w:t>
            </w:r>
          </w:p>
          <w:p>
            <w:pPr>
              <w:spacing w:after="0" w:before="0" w:line="276"/>
              <w:jc w:val="both"/>
            </w:pPr>
            <w:r>
              <w:rPr>
                <w:rFonts w:ascii="Arial" w:cs="Arial" w:eastAsia="Arial" w:hAnsi="Arial"/>
                <w:color w:val="1A3A5C"/>
                <w:sz w:val="22"/>
                <w:szCs w:val="22"/>
              </w:rPr>
              <w:t xml:space="preserve">Você pode solicitar acesso ao PGR diretamente ao RH, ao SESMT ou à CIPA da sua empresa. A solicitação pode ser verbal ou por escrito. Se a empresa negar o acesso sem justificativa, você pode reportar à CIPA ou ao MTE — o PGR é um documento de acesso garantido por lei ao trabalhador.</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6</w:t>
      </w:r>
    </w:p>
    <w:p>
      <w:pPr>
        <w:pStyle w:val="Heading2"/>
        <w:pBdr>
          <w:bottom w:val="single" w:color="2DA67D" w:sz="4" w:space="4"/>
        </w:pBdr>
        <w:spacing w:after="120" w:before="280"/>
      </w:pPr>
      <w:r>
        <w:rPr>
          <w:rFonts w:ascii="Arial" w:cs="Arial" w:eastAsia="Arial" w:hAnsi="Arial"/>
          <w:b/>
          <w:bCs/>
          <w:color w:val="1A3A5C"/>
          <w:sz w:val="26"/>
          <w:szCs w:val="26"/>
        </w:rPr>
        <w:t xml:space="preserve">Sua participação no GRO</w:t>
      </w:r>
    </w:p>
    <w:p>
      <w:pPr>
        <w:spacing w:after="120" w:before="60" w:line="276"/>
        <w:jc w:val="both"/>
      </w:pPr>
      <w:r>
        <w:rPr>
          <w:rFonts w:ascii="Arial" w:cs="Arial" w:eastAsia="Arial" w:hAnsi="Arial"/>
          <w:color w:val="1A1A1A"/>
          <w:sz w:val="22"/>
          <w:szCs w:val="22"/>
        </w:rPr>
        <w:t xml:space="preserve">O GRO não é um processo que acontece apenas entre a empresa e o MTE — você é parte fundamental dele. A NR-1 reconhece que os trabalhadores têm conhecimento privilegiado sobre os riscos da sua própria função, e esse conhecimento deve alimentar o processo de identificação de perigos.</w:t>
      </w:r>
    </w:p>
    <w:p>
      <w:pPr>
        <w:spacing w:after="0" w:before="80"/>
      </w:pPr>
      <w:r>
        <w:t xml:space="preserve"/>
      </w:r>
    </w:p>
    <w:p>
      <w:pPr>
        <w:pStyle w:val="Heading3"/>
        <w:spacing w:after="80" w:before="200"/>
      </w:pPr>
      <w:r>
        <w:rPr>
          <w:rFonts w:ascii="Arial" w:cs="Arial" w:eastAsia="Arial" w:hAnsi="Arial"/>
          <w:b/>
          <w:bCs/>
          <w:color w:val="2DA67D"/>
          <w:sz w:val="23"/>
          <w:szCs w:val="23"/>
        </w:rPr>
        <w:t xml:space="preserve">Como você pode contribuir</w:t>
      </w:r>
    </w:p>
    <w:p>
      <w:pPr>
        <w:pStyle w:val="ListParagraph"/>
        <w:numPr>
          <w:ilvl w:val="0"/>
          <w:numId w:val="2"/>
        </w:numPr>
        <w:spacing w:after="60" w:before="60" w:line="276"/>
      </w:pPr>
      <w:r>
        <w:rPr>
          <w:rFonts w:ascii="Arial" w:cs="Arial" w:eastAsia="Arial" w:hAnsi="Arial"/>
          <w:color w:val="1A1A1A"/>
          <w:sz w:val="22"/>
          <w:szCs w:val="22"/>
        </w:rPr>
        <w:t xml:space="preserve">Comunicar ao gestor ou à CIPA qualquer situação que considerar perigosa ou que tenha potencial de causar acidente ou doença — mesmo que ainda não tenha causado nenhum problema.</w:t>
      </w:r>
    </w:p>
    <w:p>
      <w:pPr>
        <w:pStyle w:val="ListParagraph"/>
        <w:numPr>
          <w:ilvl w:val="0"/>
          <w:numId w:val="2"/>
        </w:numPr>
        <w:spacing w:after="60" w:before="60" w:line="276"/>
      </w:pPr>
      <w:r>
        <w:rPr>
          <w:rFonts w:ascii="Arial" w:cs="Arial" w:eastAsia="Arial" w:hAnsi="Arial"/>
          <w:color w:val="1A1A1A"/>
          <w:sz w:val="22"/>
          <w:szCs w:val="22"/>
        </w:rPr>
        <w:t xml:space="preserve">Participar das inspeções de segurança quando convidado — sua perspectiva sobre os riscos da sua função é insubstituível.</w:t>
      </w:r>
    </w:p>
    <w:p>
      <w:pPr>
        <w:pStyle w:val="ListParagraph"/>
        <w:numPr>
          <w:ilvl w:val="0"/>
          <w:numId w:val="2"/>
        </w:numPr>
        <w:spacing w:after="60" w:before="60" w:line="276"/>
      </w:pPr>
      <w:r>
        <w:rPr>
          <w:rFonts w:ascii="Arial" w:cs="Arial" w:eastAsia="Arial" w:hAnsi="Arial"/>
          <w:color w:val="1A1A1A"/>
          <w:sz w:val="22"/>
          <w:szCs w:val="22"/>
        </w:rPr>
        <w:t xml:space="preserve">Responder honestamente a questionários e pesquisas de SST — incluindo mapeamentos de riscos psicossociais, que dependem do relato dos trabalhadores para serem precisos.</w:t>
      </w:r>
    </w:p>
    <w:p>
      <w:pPr>
        <w:pStyle w:val="ListParagraph"/>
        <w:numPr>
          <w:ilvl w:val="0"/>
          <w:numId w:val="2"/>
        </w:numPr>
        <w:spacing w:after="60" w:before="60" w:line="276"/>
      </w:pPr>
      <w:r>
        <w:rPr>
          <w:rFonts w:ascii="Arial" w:cs="Arial" w:eastAsia="Arial" w:hAnsi="Arial"/>
          <w:color w:val="1A1A1A"/>
          <w:sz w:val="22"/>
          <w:szCs w:val="22"/>
        </w:rPr>
        <w:t xml:space="preserve">Reportar quase-acidentes — situações em que algo deu errado mas não resultou em lesão. Esses eventos são fontes valiosas de informação para prevenir acidentes reais.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9A96E" w:sz="16"/>
              <w:bottom w:val="none" w:color="FFFFFF" w:sz="0"/>
              <w:right w:val="none" w:color="FFFFFF" w:sz="0"/>
            </w:tcBorders>
            <w:shd w:fill="FDF6E8" w:val="clear"/>
            <w:tcMar>
              <w:top w:type="dxa" w:w="160"/>
              <w:left w:type="dxa" w:w="240"/>
              <w:bottom w:type="dxa" w:w="160"/>
              <w:right w:type="dxa" w:w="240"/>
            </w:tcMar>
          </w:tcPr>
          <w:p>
            <w:pPr>
              <w:spacing w:after="60" w:before="0"/>
            </w:pPr>
            <w:r>
              <w:rPr>
                <w:rFonts w:ascii="Arial" w:cs="Arial" w:eastAsia="Arial" w:hAnsi="Arial"/>
                <w:b/>
                <w:bCs/>
                <w:color w:val="C9A96E"/>
                <w:sz w:val="16"/>
                <w:szCs w:val="16"/>
              </w:rPr>
              <w:t xml:space="preserve">QUASE-ACIDENTE</w:t>
            </w:r>
          </w:p>
          <w:p>
            <w:pPr>
              <w:spacing w:after="0" w:before="0" w:line="276"/>
              <w:jc w:val="both"/>
            </w:pPr>
            <w:r>
              <w:rPr>
                <w:rFonts w:ascii="Arial" w:cs="Arial" w:eastAsia="Arial" w:hAnsi="Arial"/>
                <w:color w:val="1A3A5C"/>
                <w:sz w:val="22"/>
                <w:szCs w:val="22"/>
              </w:rPr>
              <w:t xml:space="preserve">Um quase-acidente — ou incidente — é qualquer evento não planejado que poderia ter causado lesão, doença ou dano, mas não causou. Exemplos: tropeçar sem cair, queda de objeto sem atingir ninguém, derramamento de produto sem exposição. Reportar quase-acidentes é fundamental para a prevenção: estudos de segurança mostram que para cada acidente grave existem dezenas de quase-acidentes que o precedem.</w:t>
            </w:r>
          </w:p>
        </w:tc>
      </w:tr>
    </w:tbl>
    <w:p>
      <w:pPr>
        <w:spacing w:after="0" w:before="200"/>
      </w:pPr>
      <w:r>
        <w:t xml:space="preserve"/>
      </w:r>
    </w:p>
    <w:p>
      <w:r>
        <w:br w:type="page"/>
      </w:r>
    </w:p>
    <w:p>
      <w:pPr>
        <w:spacing w:after="40" w:before="240"/>
      </w:pPr>
      <w:r>
        <w:rPr>
          <w:rFonts w:ascii="Arial" w:cs="Arial" w:eastAsia="Arial" w:hAnsi="Arial"/>
          <w:b/>
          <w:bCs/>
          <w:color w:val="C9A96E"/>
          <w:sz w:val="16"/>
          <w:szCs w:val="16"/>
        </w:rPr>
        <w:t xml:space="preserve">QUIZ DE FIXAÇÃO</w:t>
      </w:r>
    </w:p>
    <w:p>
      <w:pPr>
        <w:pStyle w:val="Heading2"/>
        <w:pBdr>
          <w:bottom w:val="single" w:color="2DA67D" w:sz="4" w:space="4"/>
        </w:pBdr>
        <w:spacing w:after="120" w:before="280"/>
      </w:pPr>
      <w:r>
        <w:rPr>
          <w:rFonts w:ascii="Arial" w:cs="Arial" w:eastAsia="Arial" w:hAnsi="Arial"/>
          <w:b/>
          <w:bCs/>
          <w:color w:val="1A3A5C"/>
          <w:sz w:val="26"/>
          <w:szCs w:val="26"/>
        </w:rPr>
        <w:t xml:space="preserve">Percurso Colaborador — 6 questões</w:t>
      </w:r>
    </w:p>
    <w:p>
      <w:pPr>
        <w:spacing w:after="120" w:before="60" w:line="276"/>
        <w:jc w:val="both"/>
      </w:pPr>
      <w:r>
        <w:rPr>
          <w:rFonts w:ascii="Arial" w:cs="Arial" w:eastAsia="Arial" w:hAnsi="Arial"/>
          <w:color w:val="1A1A1A"/>
          <w:sz w:val="22"/>
          <w:szCs w:val="22"/>
        </w:rPr>
        <w:t xml:space="preserve">Responda as questões abaixo para fixar o conteúdo deste módulo e receber seu certificado de conclusão.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1. </w:t>
            </w:r>
            <w:r>
              <w:rPr>
                <w:rFonts w:ascii="Arial" w:cs="Arial" w:eastAsia="Arial" w:hAnsi="Arial"/>
                <w:b/>
                <w:bCs/>
                <w:color w:val="FFFFFF"/>
                <w:sz w:val="22"/>
                <w:szCs w:val="22"/>
              </w:rPr>
              <w:t xml:space="preserve">Qual a diferença entre perigo e risco no contexto do GRO?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São sinônimos — ambos descrevem situações perigosas no trabalho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Perigo é a fonte do problema; risco é a probabilidade de esse perigo causar dano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Perigo se aplica a riscos físicos; risco se aplica a riscos psicossociais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Perigo é identificado pelo trabalhador; risco é avaliado exclusivamente pelo SESMT</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B) Perigo é a fonte do problema; risco é a probabilidade de esse perigo causar dano</w:t>
            </w:r>
          </w:p>
          <w:p>
            <w:r>
              <w:rPr>
                <w:rFonts w:ascii="Arial" w:cs="Arial" w:eastAsia="Arial" w:hAnsi="Arial"/>
                <w:i/>
                <w:iCs/>
                <w:color w:val="1A3A5C"/>
                <w:sz w:val="20"/>
                <w:szCs w:val="20"/>
              </w:rPr>
              <w:t xml:space="preserve">Essa distinção é fundamental no GRO. O perigo é o agente ou condição com potencial de causar dano — uma máquina sem proteção, um produto tóxico. O risco é a combinação de probabilidade e severidade do dano. O GRO identifica perigos e avalia riscos para priorizar as medidas de controle.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2. </w:t>
            </w:r>
            <w:r>
              <w:rPr>
                <w:rFonts w:ascii="Arial" w:cs="Arial" w:eastAsia="Arial" w:hAnsi="Arial"/>
                <w:b/>
                <w:bCs/>
                <w:color w:val="FFFFFF"/>
                <w:sz w:val="22"/>
                <w:szCs w:val="22"/>
              </w:rPr>
              <w:t xml:space="preserve">Qual categoria de risco foi incluída obrigatoriamente no GRO pela atualização da NR-1 em 2025?</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Riscos biológicos — antes eram cobertos apenas pela NR-32</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Riscos ergonômicos — antes eram cobertos apenas pela NR-17</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Riscos psicossociais — sobrecarga, assédio, insegurança no trabalho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Riscos de acidente — antes eram cobertos apenas pela NR-12</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Riscos psicossociais — sobrecarga, assédio, insegurança no trabalho</w:t>
            </w:r>
          </w:p>
          <w:p>
            <w:r>
              <w:rPr>
                <w:rFonts w:ascii="Arial" w:cs="Arial" w:eastAsia="Arial" w:hAnsi="Arial"/>
                <w:i/>
                <w:iCs/>
                <w:color w:val="1A3A5C"/>
                <w:sz w:val="20"/>
                <w:szCs w:val="20"/>
              </w:rPr>
              <w:t xml:space="preserve">A atualização de 2025 tornou obrigatório o mapeamento de riscos psicossociais dentro do GRO. Isso significa que fatores como sobrecarga crônica, assédio moral, pressão excessiva de metas e falta de autonomia agora precisam ser identificados, avaliados e controlados como qualquer outro risco ocupacional.</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3. </w:t>
            </w:r>
            <w:r>
              <w:rPr>
                <w:rFonts w:ascii="Arial" w:cs="Arial" w:eastAsia="Arial" w:hAnsi="Arial"/>
                <w:b/>
                <w:bCs/>
                <w:color w:val="FFFFFF"/>
                <w:sz w:val="22"/>
                <w:szCs w:val="22"/>
              </w:rPr>
              <w:t xml:space="preserve">Na hierarquia de controles da NR-1, qual medida tem MAIOR eficácia?</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Fornecimento de EPI adequado ao trabalhador</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Treinamento e sinalização — controles administrativos</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Eliminação do perigo — remoção completa da fonte de risco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Controle de engenharia — enclausuramento ou ventilação</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Eliminação do perigo — remoção completa da fonte de risco</w:t>
            </w:r>
          </w:p>
          <w:p>
            <w:r>
              <w:rPr>
                <w:rFonts w:ascii="Arial" w:cs="Arial" w:eastAsia="Arial" w:hAnsi="Arial"/>
                <w:i/>
                <w:iCs/>
                <w:color w:val="1A3A5C"/>
                <w:sz w:val="20"/>
                <w:szCs w:val="20"/>
              </w:rPr>
              <w:t xml:space="preserve">A hierarquia de controles coloca a eliminação no topo porque é a única medida que remove completamente o risco do ambiente — independentemente do comportamento humano. O EPI é o último recurso porque depende do uso correto pelo trabalhador e continua expondo-o ao risco caso falhe.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4. </w:t>
            </w:r>
            <w:r>
              <w:rPr>
                <w:rFonts w:ascii="Arial" w:cs="Arial" w:eastAsia="Arial" w:hAnsi="Arial"/>
                <w:b/>
                <w:bCs/>
                <w:color w:val="FFFFFF"/>
                <w:sz w:val="22"/>
                <w:szCs w:val="22"/>
              </w:rPr>
              <w:t xml:space="preserve">Por que o EPI é considerado o ÚLTIMO recurso na hierarquia de controles?</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É mais caro que as demais medidas e deve ser evitado por razões econômicas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O risco continua existindo no ambiente — se o EPI falhar ou não for usado, o trabalhador fica exposto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O MTE proíbe o uso de EPI como medida principal em atividades de baixo risco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O EPI protege apenas contra riscos físicos — não serve para químicos ou biológicos</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B) O risco continua existindo no ambiente — se o EPI falhar ou não for usado, o trabalhador fica exposto</w:t>
            </w:r>
          </w:p>
          <w:p>
            <w:r>
              <w:rPr>
                <w:rFonts w:ascii="Arial" w:cs="Arial" w:eastAsia="Arial" w:hAnsi="Arial"/>
                <w:i/>
                <w:iCs/>
                <w:color w:val="1A3A5C"/>
                <w:sz w:val="20"/>
                <w:szCs w:val="20"/>
              </w:rPr>
              <w:t xml:space="preserve">O EPI não elimina nem reduz o risco no ambiente — apenas cria uma barreira entre o trabalhador e o risco. Se o EPI estiver danificado, mal ajustado ou se o trabalhador esquecer de usá-lo, a proteção cessa. Medidas de eliminação e engenharia funcionam independentemente do comportamento humano.</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5. </w:t>
            </w:r>
            <w:r>
              <w:rPr>
                <w:rFonts w:ascii="Arial" w:cs="Arial" w:eastAsia="Arial" w:hAnsi="Arial"/>
                <w:b/>
                <w:bCs/>
                <w:color w:val="FFFFFF"/>
                <w:sz w:val="22"/>
                <w:szCs w:val="22"/>
              </w:rPr>
              <w:t xml:space="preserve">O trabalhador tem direito de acessar o PGR da empresa?</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Não — o PGR é documento interno confidencial, acessível apenas ao SESMT e ao MTE</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Sim, mas apenas membros da CIPA têm acesso completo; demais trabalhadores acessam versão resumida</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Sim — o PGR é um documento de acesso garantido por lei a qualquer trabalhador</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Apenas durante fiscalizações do MTE, quando o auditor autoriza a consulta coletiva</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Sim — o PGR é um documento de acesso garantido por lei a qualquer trabalhador</w:t>
            </w:r>
          </w:p>
          <w:p>
            <w:r>
              <w:rPr>
                <w:rFonts w:ascii="Arial" w:cs="Arial" w:eastAsia="Arial" w:hAnsi="Arial"/>
                <w:i/>
                <w:iCs/>
                <w:color w:val="1A3A5C"/>
                <w:sz w:val="20"/>
                <w:szCs w:val="20"/>
              </w:rPr>
              <w:t xml:space="preserve">O PGR não é documento sigiloso. Qualquer trabalhador pode solicitar acesso ao RH, ao SESMT ou à CIPA. Se o acesso for negado sem justificativa, o trabalhador pode reportar ao MTE. A transparência sobre os riscos do trabalho é um direito garantido pela NR-1.</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6. </w:t>
            </w:r>
            <w:r>
              <w:rPr>
                <w:rFonts w:ascii="Arial" w:cs="Arial" w:eastAsia="Arial" w:hAnsi="Arial"/>
                <w:b/>
                <w:bCs/>
                <w:color w:val="FFFFFF"/>
                <w:sz w:val="22"/>
                <w:szCs w:val="22"/>
              </w:rPr>
              <w:t xml:space="preserve">O que é um quase-acidente e por que é importante reportá-lo?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É sinônimo de acidente leve — deve ser reportado apenas se houver afastamento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É qualquer acidente com lesão leve, sem necessidade de atestado médico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É um evento não planejado que poderia ter causado lesão mas não causou — seu reporte previne acidentes reais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É um termo informal sem valor legal — não precisa ser registrado no PGR</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É um evento não planejado que poderia ter causado lesão mas não causou — seu reporte previne acidentes reais</w:t>
            </w:r>
          </w:p>
          <w:p>
            <w:r>
              <w:rPr>
                <w:rFonts w:ascii="Arial" w:cs="Arial" w:eastAsia="Arial" w:hAnsi="Arial"/>
                <w:i/>
                <w:iCs/>
                <w:color w:val="1A3A5C"/>
                <w:sz w:val="20"/>
                <w:szCs w:val="20"/>
              </w:rPr>
              <w:t xml:space="preserve">Estudos de segurança mostram que para cada acidente grave existem dezenas de quase-acidentes que o precedem. Reportar esses eventos permite que a empresa identifique e corrija as condições perigosas antes que causem lesão real. O quase-acidente é um sinal de alerta valioso que não deve ser ignorado.</w:t>
            </w:r>
          </w:p>
        </w:tc>
      </w:tr>
    </w:tbl>
    <w:p>
      <w:pPr>
        <w:spacing w:after="0" w:before="20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280"/>
              <w:left w:type="dxa" w:w="360"/>
              <w:bottom w:type="dxa" w:w="280"/>
              <w:right w:type="dxa" w:w="360"/>
            </w:tcMar>
          </w:tcPr>
          <w:p>
            <w:pPr>
              <w:spacing w:after="60" w:before="0"/>
            </w:pPr>
            <w:r>
              <w:rPr>
                <w:rFonts w:ascii="Arial" w:cs="Arial" w:eastAsia="Arial" w:hAnsi="Arial"/>
                <w:b/>
                <w:bCs/>
                <w:color w:val="C9A96E"/>
                <w:sz w:val="16"/>
                <w:szCs w:val="16"/>
              </w:rPr>
              <w:t xml:space="preserve">PERCURSO GESTOR DE RH — TRILHA NR-1</w:t>
            </w:r>
          </w:p>
          <w:p>
            <w:pPr>
              <w:spacing w:after="60" w:before="0"/>
            </w:pPr>
            <w:r>
              <w:rPr>
                <w:rFonts w:ascii="Arial" w:cs="Arial" w:eastAsia="Arial" w:hAnsi="Arial"/>
                <w:b/>
                <w:bCs/>
                <w:color w:val="FFFFFF"/>
                <w:sz w:val="32"/>
                <w:szCs w:val="32"/>
              </w:rPr>
              <w:t xml:space="preserve">GRO e PGR: estrutura técnica, metodologia e documentação.</w:t>
            </w:r>
          </w:p>
          <w:p>
            <w:pPr>
              <w:spacing w:after="0" w:before="0"/>
            </w:pPr>
            <w:r>
              <w:rPr>
                <w:rFonts w:ascii="Arial" w:cs="Arial" w:eastAsia="Arial" w:hAnsi="Arial"/>
                <w:i/>
                <w:iCs/>
                <w:color w:val="AABBCC"/>
                <w:sz w:val="20"/>
                <w:szCs w:val="20"/>
              </w:rPr>
              <w:t xml:space="preserve">Linguagem técnica · Foco em ciclo do GRO, estrutura do PGR, inventário de riscos e integração PCMSO</w:t>
            </w:r>
          </w:p>
        </w:tc>
      </w:tr>
    </w:tbl>
    <w:p>
      <w:pPr>
        <w:spacing w:after="0" w:before="200"/>
      </w:pPr>
      <w:r>
        <w:t xml:space="preserve"/>
      </w:r>
    </w:p>
    <w:p>
      <w:pPr>
        <w:spacing w:after="40" w:before="240"/>
      </w:pPr>
      <w:r>
        <w:rPr>
          <w:rFonts w:ascii="Arial" w:cs="Arial" w:eastAsia="Arial" w:hAnsi="Arial"/>
          <w:b/>
          <w:bCs/>
          <w:color w:val="C9A96E"/>
          <w:sz w:val="16"/>
          <w:szCs w:val="16"/>
        </w:rPr>
        <w:t xml:space="preserve">SEÇÃO 8</w:t>
      </w:r>
    </w:p>
    <w:p>
      <w:pPr>
        <w:pStyle w:val="Heading2"/>
        <w:pBdr>
          <w:bottom w:val="single" w:color="2DA67D" w:sz="4" w:space="4"/>
        </w:pBdr>
        <w:spacing w:after="120" w:before="280"/>
      </w:pPr>
      <w:r>
        <w:rPr>
          <w:rFonts w:ascii="Arial" w:cs="Arial" w:eastAsia="Arial" w:hAnsi="Arial"/>
          <w:b/>
          <w:bCs/>
          <w:color w:val="1A3A5C"/>
          <w:sz w:val="26"/>
          <w:szCs w:val="26"/>
        </w:rPr>
        <w:t xml:space="preserve">Visão geral do módulo</w:t>
      </w:r>
    </w:p>
    <w:p>
      <w:pPr>
        <w:spacing w:after="120" w:before="60" w:line="276"/>
        <w:jc w:val="both"/>
      </w:pPr>
      <w:r>
        <w:rPr>
          <w:rFonts w:ascii="Arial" w:cs="Arial" w:eastAsia="Arial" w:hAnsi="Arial"/>
          <w:color w:val="1A1A1A"/>
          <w:sz w:val="22"/>
          <w:szCs w:val="22"/>
        </w:rPr>
        <w:t xml:space="preserve">Este percurso aprofunda a dimensão técnica e operacional do Gerenciamento de Riscos Ocupacionais e do Programa de Gerenciamento de Riscos. O gestor vai entender o ciclo completo do GRO, o que deve constar obrigatoriamente no PGR, como integrar o GRO ao PCMSO e a metodologia recomendada para elaboração do inventário de riscos — incluindo os riscos psicossociais.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Duração estimada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 a 25 minutos</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Público-alvo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Gestores de RH, SST, SESMT, Medicina Ocupacional e Jurídico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Base legal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NR-1 (2025) · Portaria MTE 1.419/2024 · NR-9 · NR-17</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Certificação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Sim — registrada no sistema Vegl.ia</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9</w:t>
      </w:r>
    </w:p>
    <w:p>
      <w:pPr>
        <w:pStyle w:val="Heading2"/>
        <w:pBdr>
          <w:bottom w:val="single" w:color="2DA67D" w:sz="4" w:space="4"/>
        </w:pBdr>
        <w:spacing w:after="120" w:before="280"/>
      </w:pPr>
      <w:r>
        <w:rPr>
          <w:rFonts w:ascii="Arial" w:cs="Arial" w:eastAsia="Arial" w:hAnsi="Arial"/>
          <w:b/>
          <w:bCs/>
          <w:color w:val="1A3A5C"/>
          <w:sz w:val="26"/>
          <w:szCs w:val="26"/>
        </w:rPr>
        <w:t xml:space="preserve">O ciclo do GRO em detalhe</w:t>
      </w:r>
    </w:p>
    <w:p>
      <w:pPr>
        <w:pStyle w:val="Heading3"/>
        <w:spacing w:after="80" w:before="200"/>
      </w:pPr>
      <w:r>
        <w:rPr>
          <w:rFonts w:ascii="Arial" w:cs="Arial" w:eastAsia="Arial" w:hAnsi="Arial"/>
          <w:b/>
          <w:bCs/>
          <w:color w:val="2DA67D"/>
          <w:sz w:val="23"/>
          <w:szCs w:val="23"/>
        </w:rPr>
        <w:t xml:space="preserve">Etapa 1 — Identificação de perigos</w:t>
      </w:r>
    </w:p>
    <w:p>
      <w:pPr>
        <w:spacing w:after="120" w:before="60" w:line="276"/>
        <w:jc w:val="both"/>
      </w:pPr>
      <w:r>
        <w:rPr>
          <w:rFonts w:ascii="Arial" w:cs="Arial" w:eastAsia="Arial" w:hAnsi="Arial"/>
          <w:color w:val="1A1A1A"/>
          <w:sz w:val="22"/>
          <w:szCs w:val="22"/>
        </w:rPr>
        <w:t xml:space="preserve">A identificação de perigos é o ponto de partida do GRO. Deve ser realizada por área, função e processo — não de forma genérica para toda a empresa. As fontes de informação para essa etapa incluem:</w:t>
      </w:r>
    </w:p>
    <w:p>
      <w:pPr>
        <w:spacing w:after="0" w:before="40"/>
      </w:pPr>
      <w:r>
        <w:t xml:space="preserve"/>
      </w:r>
    </w:p>
    <w:p>
      <w:pPr>
        <w:pStyle w:val="ListParagraph"/>
        <w:numPr>
          <w:ilvl w:val="0"/>
          <w:numId w:val="2"/>
        </w:numPr>
        <w:spacing w:after="60" w:before="60" w:line="276"/>
      </w:pPr>
      <w:r>
        <w:rPr>
          <w:rFonts w:ascii="Arial" w:cs="Arial" w:eastAsia="Arial" w:hAnsi="Arial"/>
          <w:color w:val="1A1A1A"/>
          <w:sz w:val="22"/>
          <w:szCs w:val="22"/>
        </w:rPr>
        <w:t xml:space="preserve">Inspeções no local de trabalho — observação direta das condições e práticas de trabalho.</w:t>
      </w:r>
    </w:p>
    <w:p>
      <w:pPr>
        <w:pStyle w:val="ListParagraph"/>
        <w:numPr>
          <w:ilvl w:val="0"/>
          <w:numId w:val="2"/>
        </w:numPr>
        <w:spacing w:after="60" w:before="60" w:line="276"/>
      </w:pPr>
      <w:r>
        <w:rPr>
          <w:rFonts w:ascii="Arial" w:cs="Arial" w:eastAsia="Arial" w:hAnsi="Arial"/>
          <w:color w:val="1A1A1A"/>
          <w:sz w:val="22"/>
          <w:szCs w:val="22"/>
        </w:rPr>
        <w:t xml:space="preserve">Entrevistas e questionários com trabalhadores — especialmente para riscos ergonômicos e psicossociais, que dependem do relato de quem executa a atividade.</w:t>
      </w:r>
    </w:p>
    <w:p>
      <w:pPr>
        <w:pStyle w:val="ListParagraph"/>
        <w:numPr>
          <w:ilvl w:val="0"/>
          <w:numId w:val="2"/>
        </w:numPr>
        <w:spacing w:after="60" w:before="60" w:line="276"/>
      </w:pPr>
      <w:r>
        <w:rPr>
          <w:rFonts w:ascii="Arial" w:cs="Arial" w:eastAsia="Arial" w:hAnsi="Arial"/>
          <w:color w:val="1A1A1A"/>
          <w:sz w:val="22"/>
          <w:szCs w:val="22"/>
        </w:rPr>
        <w:t xml:space="preserve">Análise de acidentes e incidentes anteriores — histório de ocorrências como fonte de identificação de perigos recorrentes.</w:t>
      </w:r>
    </w:p>
    <w:p>
      <w:pPr>
        <w:pStyle w:val="ListParagraph"/>
        <w:numPr>
          <w:ilvl w:val="0"/>
          <w:numId w:val="2"/>
        </w:numPr>
        <w:spacing w:after="60" w:before="60" w:line="276"/>
      </w:pPr>
      <w:r>
        <w:rPr>
          <w:rFonts w:ascii="Arial" w:cs="Arial" w:eastAsia="Arial" w:hAnsi="Arial"/>
          <w:color w:val="1A1A1A"/>
          <w:sz w:val="22"/>
          <w:szCs w:val="22"/>
        </w:rPr>
        <w:t xml:space="preserve">Fichas de dados de segurança de produtos químicos (FISPQ) — para identificação de agentes químicos presentes no processo.</w:t>
      </w:r>
    </w:p>
    <w:p>
      <w:pPr>
        <w:pStyle w:val="ListParagraph"/>
        <w:numPr>
          <w:ilvl w:val="0"/>
          <w:numId w:val="2"/>
        </w:numPr>
        <w:spacing w:after="60" w:before="60" w:line="276"/>
      </w:pPr>
      <w:r>
        <w:rPr>
          <w:rFonts w:ascii="Arial" w:cs="Arial" w:eastAsia="Arial" w:hAnsi="Arial"/>
          <w:color w:val="1A1A1A"/>
          <w:sz w:val="22"/>
          <w:szCs w:val="22"/>
        </w:rPr>
        <w:t xml:space="preserve">Laudos e medições anteriores — relatórios de higiene ocupacional, medições de ruído, iluminação, temperatura.</w:t>
      </w:r>
    </w:p>
    <w:p>
      <w:pPr>
        <w:pStyle w:val="ListParagraph"/>
        <w:numPr>
          <w:ilvl w:val="0"/>
          <w:numId w:val="2"/>
        </w:numPr>
        <w:spacing w:after="60" w:before="60" w:line="276"/>
      </w:pPr>
      <w:r>
        <w:rPr>
          <w:rFonts w:ascii="Arial" w:cs="Arial" w:eastAsia="Arial" w:hAnsi="Arial"/>
          <w:color w:val="1A1A1A"/>
          <w:sz w:val="22"/>
          <w:szCs w:val="22"/>
        </w:rPr>
        <w:t xml:space="preserve">Comparação com referências setoriais — benchmarks do setor para identificar riscos típicos da atividade econômica.</w:t>
      </w:r>
    </w:p>
    <w:p>
      <w:pPr>
        <w:spacing w:after="0" w:before="80"/>
      </w:pPr>
      <w:r>
        <w:t xml:space="preserve"/>
      </w:r>
    </w:p>
    <w:p>
      <w:pPr>
        <w:pStyle w:val="Heading3"/>
        <w:spacing w:after="80" w:before="200"/>
      </w:pPr>
      <w:r>
        <w:rPr>
          <w:rFonts w:ascii="Arial" w:cs="Arial" w:eastAsia="Arial" w:hAnsi="Arial"/>
          <w:b/>
          <w:bCs/>
          <w:color w:val="2DA67D"/>
          <w:sz w:val="23"/>
          <w:szCs w:val="23"/>
        </w:rPr>
        <w:t xml:space="preserve">Etapa 2 — Avaliação de riscos</w:t>
      </w:r>
    </w:p>
    <w:p>
      <w:pPr>
        <w:spacing w:after="120" w:before="60" w:line="276"/>
        <w:jc w:val="both"/>
      </w:pPr>
      <w:r>
        <w:rPr>
          <w:rFonts w:ascii="Arial" w:cs="Arial" w:eastAsia="Arial" w:hAnsi="Arial"/>
          <w:color w:val="1A1A1A"/>
          <w:sz w:val="22"/>
          <w:szCs w:val="22"/>
        </w:rPr>
        <w:t xml:space="preserve">Após identificar os perigos, cada risco deve ser avaliado em duas dimensões: probabilidade de ocorrência do dano e severidade do dano caso ocorra. A combinação dessas duas dimensões gera o nível de risco, que determina a prioridade das medidas de controle.</w:t>
      </w:r>
    </w:p>
    <w:p>
      <w:pPr>
        <w:spacing w:after="120" w:before="60" w:line="276"/>
        <w:jc w:val="both"/>
      </w:pPr>
      <w:r>
        <w:rPr>
          <w:rFonts w:ascii="Arial" w:cs="Arial" w:eastAsia="Arial" w:hAnsi="Arial"/>
          <w:color w:val="1A1A1A"/>
          <w:sz w:val="22"/>
          <w:szCs w:val="22"/>
        </w:rPr>
        <w:t xml:space="preserve">A NR-1 não impõe uma metodologia específica de avaliação — mas exige que a metodologia escolhida seja documentada e justificada. As mais utilizadas no Brasil são: Matriz de Risco (probabilidade × severidade), FMEA (Failure Mode and Effects Analysis) para processos industriais, APR (Análise Preliminar de Riscos) e, para riscos psicossociais, ferramentas validadas como o COPSOQ II.</w:t>
      </w:r>
    </w:p>
    <w:p>
      <w:pPr>
        <w:spacing w:after="0" w:before="80"/>
      </w:pPr>
      <w:r>
        <w:t xml:space="preserve"/>
      </w:r>
    </w:p>
    <w:p>
      <w:pPr>
        <w:pStyle w:val="Heading3"/>
        <w:spacing w:after="80" w:before="200"/>
      </w:pPr>
      <w:r>
        <w:rPr>
          <w:rFonts w:ascii="Arial" w:cs="Arial" w:eastAsia="Arial" w:hAnsi="Arial"/>
          <w:b/>
          <w:bCs/>
          <w:color w:val="2DA67D"/>
          <w:sz w:val="23"/>
          <w:szCs w:val="23"/>
        </w:rPr>
        <w:t xml:space="preserve">Etapa 3 — Controle de riscos</w:t>
      </w:r>
    </w:p>
    <w:p>
      <w:pPr>
        <w:spacing w:after="120" w:before="60" w:line="276"/>
        <w:jc w:val="both"/>
      </w:pPr>
      <w:r>
        <w:rPr>
          <w:rFonts w:ascii="Arial" w:cs="Arial" w:eastAsia="Arial" w:hAnsi="Arial"/>
          <w:color w:val="1A1A1A"/>
          <w:sz w:val="22"/>
          <w:szCs w:val="22"/>
        </w:rPr>
        <w:t xml:space="preserve">As medidas de controle devem seguir obrigatoriamente a hierarquia estabelecida pela NR-1: eliminação, substituição, controle de engenharia, controle administrativo e, por último, EPI. Para cada risco avaliado, o PGR deve registrar:</w:t>
      </w:r>
    </w:p>
    <w:p>
      <w:pPr>
        <w:spacing w:after="0" w:before="40"/>
      </w:pPr>
      <w:r>
        <w:t xml:space="preserve"/>
      </w:r>
    </w:p>
    <w:p>
      <w:pPr>
        <w:pStyle w:val="ListParagraph"/>
        <w:numPr>
          <w:ilvl w:val="0"/>
          <w:numId w:val="2"/>
        </w:numPr>
        <w:spacing w:after="60" w:before="60" w:line="276"/>
      </w:pPr>
      <w:r>
        <w:rPr>
          <w:rFonts w:ascii="Arial" w:cs="Arial" w:eastAsia="Arial" w:hAnsi="Arial"/>
          <w:b/>
          <w:bCs/>
          <w:color w:val="1A1A1A"/>
          <w:sz w:val="22"/>
          <w:szCs w:val="22"/>
        </w:rPr>
        <w:t xml:space="preserve">Medida de controle adotada:</w:t>
      </w:r>
      <w:r>
        <w:rPr>
          <w:rFonts w:ascii="Arial" w:cs="Arial" w:eastAsia="Arial" w:hAnsi="Arial"/>
          <w:color w:val="1A1A1A"/>
          <w:sz w:val="22"/>
          <w:szCs w:val="22"/>
        </w:rPr>
        <w:t xml:space="preserve"> descrição específica da ação — não apenas 'usar EPI', mas 'fornecimento de protetor auricular tipo concha com atenuação mínima de 25 dB'.</w:t>
      </w:r>
    </w:p>
    <w:p>
      <w:pPr>
        <w:pStyle w:val="ListParagraph"/>
        <w:numPr>
          <w:ilvl w:val="0"/>
          <w:numId w:val="2"/>
        </w:numPr>
        <w:spacing w:after="60" w:before="60" w:line="276"/>
      </w:pPr>
      <w:r>
        <w:rPr>
          <w:rFonts w:ascii="Arial" w:cs="Arial" w:eastAsia="Arial" w:hAnsi="Arial"/>
          <w:b/>
          <w:bCs/>
          <w:color w:val="1A1A1A"/>
          <w:sz w:val="22"/>
          <w:szCs w:val="22"/>
        </w:rPr>
        <w:t xml:space="preserve">Responsável pela implementação:</w:t>
      </w:r>
      <w:r>
        <w:rPr>
          <w:rFonts w:ascii="Arial" w:cs="Arial" w:eastAsia="Arial" w:hAnsi="Arial"/>
          <w:color w:val="1A1A1A"/>
          <w:sz w:val="22"/>
          <w:szCs w:val="22"/>
        </w:rPr>
        <w:t xml:space="preserve"> nome ou cargo do responsável por garantir que a medida seja implementada e mantida.</w:t>
      </w:r>
    </w:p>
    <w:p>
      <w:pPr>
        <w:pStyle w:val="ListParagraph"/>
        <w:numPr>
          <w:ilvl w:val="0"/>
          <w:numId w:val="2"/>
        </w:numPr>
        <w:spacing w:after="60" w:before="60" w:line="276"/>
      </w:pPr>
      <w:r>
        <w:rPr>
          <w:rFonts w:ascii="Arial" w:cs="Arial" w:eastAsia="Arial" w:hAnsi="Arial"/>
          <w:b/>
          <w:bCs/>
          <w:color w:val="1A1A1A"/>
          <w:sz w:val="22"/>
          <w:szCs w:val="22"/>
        </w:rPr>
        <w:t xml:space="preserve">Prazo:</w:t>
      </w:r>
      <w:r>
        <w:rPr>
          <w:rFonts w:ascii="Arial" w:cs="Arial" w:eastAsia="Arial" w:hAnsi="Arial"/>
          <w:color w:val="1A1A1A"/>
          <w:sz w:val="22"/>
          <w:szCs w:val="22"/>
        </w:rPr>
        <w:t xml:space="preserve"> data-limite para implementação de cada medida — especialmente para aquelas que ainda não foram implementadas.</w:t>
      </w:r>
    </w:p>
    <w:p>
      <w:pPr>
        <w:pStyle w:val="ListParagraph"/>
        <w:numPr>
          <w:ilvl w:val="0"/>
          <w:numId w:val="2"/>
        </w:numPr>
        <w:spacing w:after="60" w:before="60" w:line="276"/>
      </w:pPr>
      <w:r>
        <w:rPr>
          <w:rFonts w:ascii="Arial" w:cs="Arial" w:eastAsia="Arial" w:hAnsi="Arial"/>
          <w:b/>
          <w:bCs/>
          <w:color w:val="1A1A1A"/>
          <w:sz w:val="22"/>
          <w:szCs w:val="22"/>
        </w:rPr>
        <w:t xml:space="preserve">Nível de risco residual:</w:t>
      </w:r>
      <w:r>
        <w:rPr>
          <w:rFonts w:ascii="Arial" w:cs="Arial" w:eastAsia="Arial" w:hAnsi="Arial"/>
          <w:color w:val="1A1A1A"/>
          <w:sz w:val="22"/>
          <w:szCs w:val="22"/>
        </w:rPr>
        <w:t xml:space="preserve"> avaliação do risco após a implementação das medidas — para verificar se o nível de risco se tornou aceitável.</w:t>
      </w:r>
    </w:p>
    <w:p>
      <w:pPr>
        <w:spacing w:after="0" w:before="80"/>
      </w:pPr>
      <w:r>
        <w:t xml:space="preserve"/>
      </w:r>
    </w:p>
    <w:p>
      <w:pPr>
        <w:pStyle w:val="Heading3"/>
        <w:spacing w:after="80" w:before="200"/>
      </w:pPr>
      <w:r>
        <w:rPr>
          <w:rFonts w:ascii="Arial" w:cs="Arial" w:eastAsia="Arial" w:hAnsi="Arial"/>
          <w:b/>
          <w:bCs/>
          <w:color w:val="2DA67D"/>
          <w:sz w:val="23"/>
          <w:szCs w:val="23"/>
        </w:rPr>
        <w:t xml:space="preserve">Etapa 4 — Monitoramento e revisão</w:t>
      </w:r>
    </w:p>
    <w:p>
      <w:pPr>
        <w:spacing w:after="120" w:before="60" w:line="276"/>
        <w:jc w:val="both"/>
      </w:pPr>
      <w:r>
        <w:rPr>
          <w:rFonts w:ascii="Arial" w:cs="Arial" w:eastAsia="Arial" w:hAnsi="Arial"/>
          <w:color w:val="1A1A1A"/>
          <w:sz w:val="22"/>
          <w:szCs w:val="22"/>
        </w:rPr>
        <w:t xml:space="preserve">O GRO não termina com a implementação das medidas. A etapa de monitoramento verifica se as medidas estão sendo aplicadas corretamente e se estão produzindo o efeito esperado. O PGR deve ser revisado:</w:t>
      </w:r>
    </w:p>
    <w:p>
      <w:pPr>
        <w:spacing w:after="0" w:before="40"/>
      </w:pPr>
      <w:r>
        <w:t xml:space="preserve"/>
      </w:r>
    </w:p>
    <w:p>
      <w:pPr>
        <w:pStyle w:val="ListParagraph"/>
        <w:numPr>
          <w:ilvl w:val="0"/>
          <w:numId w:val="2"/>
        </w:numPr>
        <w:spacing w:after="60" w:before="60" w:line="276"/>
      </w:pPr>
      <w:r>
        <w:rPr>
          <w:rFonts w:ascii="Arial" w:cs="Arial" w:eastAsia="Arial" w:hAnsi="Arial"/>
          <w:color w:val="1A1A1A"/>
          <w:sz w:val="22"/>
          <w:szCs w:val="22"/>
        </w:rPr>
        <w:t xml:space="preserve">Periodicamente — conforme frequência definida no próprio PGR (anual é o mínimo recomendado).</w:t>
      </w:r>
    </w:p>
    <w:p>
      <w:pPr>
        <w:pStyle w:val="ListParagraph"/>
        <w:numPr>
          <w:ilvl w:val="0"/>
          <w:numId w:val="2"/>
        </w:numPr>
        <w:spacing w:after="60" w:before="60" w:line="276"/>
      </w:pPr>
      <w:r>
        <w:rPr>
          <w:rFonts w:ascii="Arial" w:cs="Arial" w:eastAsia="Arial" w:hAnsi="Arial"/>
          <w:color w:val="1A1A1A"/>
          <w:sz w:val="22"/>
          <w:szCs w:val="22"/>
        </w:rPr>
        <w:t xml:space="preserve">Após acidentes ou doenças ocupacionais — para identificar falhas nas medidas de controle.</w:t>
      </w:r>
    </w:p>
    <w:p>
      <w:pPr>
        <w:pStyle w:val="ListParagraph"/>
        <w:numPr>
          <w:ilvl w:val="0"/>
          <w:numId w:val="2"/>
        </w:numPr>
        <w:spacing w:after="60" w:before="60" w:line="276"/>
      </w:pPr>
      <w:r>
        <w:rPr>
          <w:rFonts w:ascii="Arial" w:cs="Arial" w:eastAsia="Arial" w:hAnsi="Arial"/>
          <w:color w:val="1A1A1A"/>
          <w:sz w:val="22"/>
          <w:szCs w:val="22"/>
        </w:rPr>
        <w:t xml:space="preserve">Sempre que houver mudança significativa — novo processo, novo produto, nova máquina, reestruturação de área, mudança de gestão.</w:t>
      </w:r>
    </w:p>
    <w:p>
      <w:pPr>
        <w:pStyle w:val="ListParagraph"/>
        <w:numPr>
          <w:ilvl w:val="0"/>
          <w:numId w:val="2"/>
        </w:numPr>
        <w:spacing w:after="60" w:before="60" w:line="276"/>
      </w:pPr>
      <w:r>
        <w:rPr>
          <w:rFonts w:ascii="Arial" w:cs="Arial" w:eastAsia="Arial" w:hAnsi="Arial"/>
          <w:color w:val="1A1A1A"/>
          <w:sz w:val="22"/>
          <w:szCs w:val="22"/>
        </w:rPr>
        <w:t xml:space="preserve">Quando os indicadores de SST sinalizarem deterioração — aumento de afastamentos, quase-acidentes recorrentes, resultados negativos em pesquisas de bem-estar.</w:t>
      </w:r>
    </w:p>
    <w:p>
      <w:pPr>
        <w:spacing w:after="0" w:before="120"/>
      </w:pPr>
      <w:r>
        <w:t xml:space="preserve"/>
      </w:r>
    </w:p>
    <w:p>
      <w:pPr>
        <w:spacing w:after="40" w:before="240"/>
      </w:pPr>
      <w:r>
        <w:rPr>
          <w:rFonts w:ascii="Arial" w:cs="Arial" w:eastAsia="Arial" w:hAnsi="Arial"/>
          <w:b/>
          <w:bCs/>
          <w:color w:val="C9A96E"/>
          <w:sz w:val="16"/>
          <w:szCs w:val="16"/>
        </w:rPr>
        <w:t xml:space="preserve">SEÇÃO 10</w:t>
      </w:r>
    </w:p>
    <w:p>
      <w:pPr>
        <w:pStyle w:val="Heading2"/>
        <w:pBdr>
          <w:bottom w:val="single" w:color="2DA67D" w:sz="4" w:space="4"/>
        </w:pBdr>
        <w:spacing w:after="120" w:before="280"/>
      </w:pPr>
      <w:r>
        <w:rPr>
          <w:rFonts w:ascii="Arial" w:cs="Arial" w:eastAsia="Arial" w:hAnsi="Arial"/>
          <w:b/>
          <w:bCs/>
          <w:color w:val="1A3A5C"/>
          <w:sz w:val="26"/>
          <w:szCs w:val="26"/>
        </w:rPr>
        <w:t xml:space="preserve">Estrutura obrigatória do PGR</w:t>
      </w:r>
    </w:p>
    <w:p>
      <w:pPr>
        <w:spacing w:after="120" w:before="60" w:line="276"/>
        <w:jc w:val="both"/>
      </w:pPr>
      <w:r>
        <w:rPr>
          <w:rFonts w:ascii="Arial" w:cs="Arial" w:eastAsia="Arial" w:hAnsi="Arial"/>
          <w:color w:val="1A1A1A"/>
          <w:sz w:val="22"/>
          <w:szCs w:val="22"/>
        </w:rPr>
        <w:t xml:space="preserve">A NR-1 define os elementos mínimos que o PGR deve conter. A ausência de qualquer desses elementos pode resultar em autuação pelo MTE durante fiscalização:</w:t>
      </w:r>
    </w:p>
    <w:p>
      <w:pPr>
        <w:spacing w:after="0" w:before="80"/>
      </w:pPr>
      <w:r>
        <w:t xml:space="preserve"/>
      </w:r>
    </w:p>
    <w:p>
      <w:pPr>
        <w:pStyle w:val="Heading3"/>
        <w:spacing w:after="80" w:before="200"/>
      </w:pPr>
      <w:r>
        <w:rPr>
          <w:rFonts w:ascii="Arial" w:cs="Arial" w:eastAsia="Arial" w:hAnsi="Arial"/>
          <w:b/>
          <w:bCs/>
          <w:color w:val="2DA67D"/>
          <w:sz w:val="23"/>
          <w:szCs w:val="23"/>
        </w:rPr>
        <w:t xml:space="preserve">Elemento 1 — Inventário de riscos</w:t>
      </w:r>
    </w:p>
    <w:p>
      <w:pPr>
        <w:spacing w:after="120" w:before="60" w:line="276"/>
        <w:jc w:val="both"/>
      </w:pPr>
      <w:r>
        <w:rPr>
          <w:rFonts w:ascii="Arial" w:cs="Arial" w:eastAsia="Arial" w:hAnsi="Arial"/>
          <w:color w:val="1A1A1A"/>
          <w:sz w:val="22"/>
          <w:szCs w:val="22"/>
        </w:rPr>
        <w:t xml:space="preserve">O inventário é a espinha dorsal do PGR. Deve listar todos os riscos identificados por: área ou setor, função ou cargo exposto, agente ou fator de risco (com descrição específica), categoria do risco (físico, químico, biológico, ergonômico ou psicossocial), fonte ou processo gerador, e número estimado de trabalhadores expostos. O inventário deve ser atualizado sempre que houver mudança nos processos ou ambientes.</w:t>
      </w:r>
    </w:p>
    <w:p>
      <w:pPr>
        <w:spacing w:after="0" w:before="80"/>
      </w:pPr>
      <w:r>
        <w:t xml:space="preserve"/>
      </w:r>
    </w:p>
    <w:p>
      <w:pPr>
        <w:pStyle w:val="Heading3"/>
        <w:spacing w:after="80" w:before="200"/>
      </w:pPr>
      <w:r>
        <w:rPr>
          <w:rFonts w:ascii="Arial" w:cs="Arial" w:eastAsia="Arial" w:hAnsi="Arial"/>
          <w:b/>
          <w:bCs/>
          <w:color w:val="2DA67D"/>
          <w:sz w:val="23"/>
          <w:szCs w:val="23"/>
        </w:rPr>
        <w:t xml:space="preserve">Elemento 2 — Plano de ação</w:t>
      </w:r>
    </w:p>
    <w:p>
      <w:pPr>
        <w:spacing w:after="120" w:before="60" w:line="276"/>
        <w:jc w:val="both"/>
      </w:pPr>
      <w:r>
        <w:rPr>
          <w:rFonts w:ascii="Arial" w:cs="Arial" w:eastAsia="Arial" w:hAnsi="Arial"/>
          <w:color w:val="1A1A1A"/>
          <w:sz w:val="22"/>
          <w:szCs w:val="22"/>
        </w:rPr>
        <w:t xml:space="preserve">Para cada risco listado no inventário com nível superior ao aceitável, deve existir um plano de ação correspondente. O plano deve conter: medida de controle prevista (com especificação técnica), responsável pela implementação, prazo, recursos necessários e indicador de verificação de eficácia. Medidas já implementadas devem constar no PGR com evidências de implementação.</w:t>
      </w:r>
    </w:p>
    <w:p>
      <w:pPr>
        <w:spacing w:after="0" w:before="80"/>
      </w:pPr>
      <w:r>
        <w:t xml:space="preserve"/>
      </w:r>
    </w:p>
    <w:p>
      <w:pPr>
        <w:pStyle w:val="Heading3"/>
        <w:spacing w:after="80" w:before="200"/>
      </w:pPr>
      <w:r>
        <w:rPr>
          <w:rFonts w:ascii="Arial" w:cs="Arial" w:eastAsia="Arial" w:hAnsi="Arial"/>
          <w:b/>
          <w:bCs/>
          <w:color w:val="2DA67D"/>
          <w:sz w:val="23"/>
          <w:szCs w:val="23"/>
        </w:rPr>
        <w:t xml:space="preserve">Elemento 3 — Registros de monitoramento</w:t>
      </w:r>
    </w:p>
    <w:p>
      <w:pPr>
        <w:spacing w:after="120" w:before="60" w:line="276"/>
        <w:jc w:val="both"/>
      </w:pPr>
      <w:r>
        <w:rPr>
          <w:rFonts w:ascii="Arial" w:cs="Arial" w:eastAsia="Arial" w:hAnsi="Arial"/>
          <w:color w:val="1A1A1A"/>
          <w:sz w:val="22"/>
          <w:szCs w:val="22"/>
        </w:rPr>
        <w:t xml:space="preserve">Os registros de monitoramento comprovam que o GRO é de fato contínuo — não apenas um documento elaborado e arquivado. Incluem: resultados de medições periódicas (ruído, iluminação, temperatura, agentes químicos), relatórios de inspeções de segurança, atas de reuniões de CIPA relacionadas a riscos, registros de quase-acidentes e incidentes, e resultados de pesquisas de riscos psicossociais.</w:t>
      </w:r>
    </w:p>
    <w:p>
      <w:pPr>
        <w:spacing w:after="0" w:before="80"/>
      </w:pPr>
      <w:r>
        <w:t xml:space="preserve"/>
      </w:r>
    </w:p>
    <w:p>
      <w:pPr>
        <w:pStyle w:val="Heading3"/>
        <w:spacing w:after="80" w:before="200"/>
      </w:pPr>
      <w:r>
        <w:rPr>
          <w:rFonts w:ascii="Arial" w:cs="Arial" w:eastAsia="Arial" w:hAnsi="Arial"/>
          <w:b/>
          <w:bCs/>
          <w:color w:val="2DA67D"/>
          <w:sz w:val="23"/>
          <w:szCs w:val="23"/>
        </w:rPr>
        <w:t xml:space="preserve">Elemento 4 — Integração com o PCMSO</w:t>
      </w:r>
    </w:p>
    <w:p>
      <w:pPr>
        <w:spacing w:after="120" w:before="60" w:line="276"/>
        <w:jc w:val="both"/>
      </w:pPr>
      <w:r>
        <w:rPr>
          <w:rFonts w:ascii="Arial" w:cs="Arial" w:eastAsia="Arial" w:hAnsi="Arial"/>
          <w:color w:val="1A1A1A"/>
          <w:sz w:val="22"/>
          <w:szCs w:val="22"/>
        </w:rPr>
        <w:t xml:space="preserve">O PGR deve fazer referência explícita ao PCMSO e demonstrar que os exames médicos periódicos definidos pelo médico coordenador foram estabelecidos com base nos riscos mapeados no inventário. Essa integração é verificada pelos auditores fiscais: inconsistências entre os riscos do PGR e os exames do PCMSO indicam que um dos documentos não reflete a realidade.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9A96E" w:sz="16"/>
              <w:bottom w:val="none" w:color="FFFFFF" w:sz="0"/>
              <w:right w:val="none" w:color="FFFFFF" w:sz="0"/>
            </w:tcBorders>
            <w:shd w:fill="FDF6E8" w:val="clear"/>
            <w:tcMar>
              <w:top w:type="dxa" w:w="160"/>
              <w:left w:type="dxa" w:w="240"/>
              <w:bottom w:type="dxa" w:w="160"/>
              <w:right w:type="dxa" w:w="240"/>
            </w:tcMar>
          </w:tcPr>
          <w:p>
            <w:pPr>
              <w:spacing w:after="60" w:before="0"/>
            </w:pPr>
            <w:r>
              <w:rPr>
                <w:rFonts w:ascii="Arial" w:cs="Arial" w:eastAsia="Arial" w:hAnsi="Arial"/>
                <w:b/>
                <w:bCs/>
                <w:color w:val="C9A96E"/>
                <w:sz w:val="16"/>
                <w:szCs w:val="16"/>
              </w:rPr>
              <w:t xml:space="preserve">PGR SIMPLIFICADO PARA MEI E PEQUENAS EMPRESAS</w:t>
            </w:r>
          </w:p>
          <w:p>
            <w:pPr>
              <w:spacing w:after="0" w:before="0" w:line="276"/>
              <w:jc w:val="both"/>
            </w:pPr>
            <w:r>
              <w:rPr>
                <w:rFonts w:ascii="Arial" w:cs="Arial" w:eastAsia="Arial" w:hAnsi="Arial"/>
                <w:color w:val="1A3A5C"/>
                <w:sz w:val="22"/>
                <w:szCs w:val="22"/>
              </w:rPr>
              <w:t xml:space="preserve">A NR-1 prevê modelo simplificado de PGR para microempresas e empresas de pequeno porte com grau de risco 1 ou 2. Esse modelo, disponível no portal do MTE (gov.br/trabalho), tem estrutura reduzida mas mantém a obrigatoriedade dos quatro elementos mínimos. Empresas que se enquadram nesse perfil não estão dispensadas do PGR — apenas podem usar o formato simplificado.</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11</w:t>
      </w:r>
    </w:p>
    <w:p>
      <w:pPr>
        <w:pStyle w:val="Heading2"/>
        <w:pBdr>
          <w:bottom w:val="single" w:color="2DA67D" w:sz="4" w:space="4"/>
        </w:pBdr>
        <w:spacing w:after="120" w:before="280"/>
      </w:pPr>
      <w:r>
        <w:rPr>
          <w:rFonts w:ascii="Arial" w:cs="Arial" w:eastAsia="Arial" w:hAnsi="Arial"/>
          <w:b/>
          <w:bCs/>
          <w:color w:val="1A3A5C"/>
          <w:sz w:val="26"/>
          <w:szCs w:val="26"/>
        </w:rPr>
        <w:t xml:space="preserve">Integração GRO-PCMSO</w:t>
      </w:r>
    </w:p>
    <w:p>
      <w:pPr>
        <w:spacing w:after="120" w:before="60" w:line="276"/>
        <w:jc w:val="both"/>
      </w:pPr>
      <w:r>
        <w:rPr>
          <w:rFonts w:ascii="Arial" w:cs="Arial" w:eastAsia="Arial" w:hAnsi="Arial"/>
          <w:color w:val="1A1A1A"/>
          <w:sz w:val="22"/>
          <w:szCs w:val="22"/>
        </w:rPr>
        <w:t xml:space="preserve">A integração entre o GRO e o PCMSO é uma das mudanças mais significativas da NR-1 atualizada e uma das mais cobradas nas fiscalizações. O PCMSO — Programa de Controle Médico de Saúde Ocupacional — deve ser elaborado pelo médico coordenador com base nos riscos identificados no PGR.</w:t>
      </w:r>
    </w:p>
    <w:p>
      <w:pPr>
        <w:spacing w:after="0" w:before="80"/>
      </w:pPr>
      <w:r>
        <w:t xml:space="preserve"/>
      </w:r>
    </w:p>
    <w:p>
      <w:pPr>
        <w:pStyle w:val="Heading3"/>
        <w:spacing w:after="80" w:before="200"/>
      </w:pPr>
      <w:r>
        <w:rPr>
          <w:rFonts w:ascii="Arial" w:cs="Arial" w:eastAsia="Arial" w:hAnsi="Arial"/>
          <w:b/>
          <w:bCs/>
          <w:color w:val="2DA67D"/>
          <w:sz w:val="23"/>
          <w:szCs w:val="23"/>
        </w:rPr>
        <w:t xml:space="preserve">Como a integração funciona na prática</w:t>
      </w:r>
    </w:p>
    <w:p>
      <w:pPr>
        <w:pStyle w:val="ListParagraph"/>
        <w:numPr>
          <w:ilvl w:val="0"/>
          <w:numId w:val="2"/>
        </w:numPr>
        <w:spacing w:after="60" w:before="60" w:line="276"/>
      </w:pPr>
      <w:r>
        <w:rPr>
          <w:rFonts w:ascii="Arial" w:cs="Arial" w:eastAsia="Arial" w:hAnsi="Arial"/>
          <w:b/>
          <w:bCs/>
          <w:color w:val="1A1A1A"/>
          <w:sz w:val="22"/>
          <w:szCs w:val="22"/>
        </w:rPr>
        <w:t xml:space="preserve">O PGR mapeia os riscos:</w:t>
      </w:r>
      <w:r>
        <w:rPr>
          <w:rFonts w:ascii="Arial" w:cs="Arial" w:eastAsia="Arial" w:hAnsi="Arial"/>
          <w:color w:val="1A1A1A"/>
          <w:sz w:val="22"/>
          <w:szCs w:val="22"/>
        </w:rPr>
        <w:t xml:space="preserve"> todos os agentes e fatores de risco presentes em cada cargo são documentados no inventário de riscos.</w:t>
      </w:r>
    </w:p>
    <w:p>
      <w:pPr>
        <w:pStyle w:val="ListParagraph"/>
        <w:numPr>
          <w:ilvl w:val="0"/>
          <w:numId w:val="2"/>
        </w:numPr>
        <w:spacing w:after="60" w:before="60" w:line="276"/>
      </w:pPr>
      <w:r>
        <w:rPr>
          <w:rFonts w:ascii="Arial" w:cs="Arial" w:eastAsia="Arial" w:hAnsi="Arial"/>
          <w:b/>
          <w:bCs/>
          <w:color w:val="1A1A1A"/>
          <w:sz w:val="22"/>
          <w:szCs w:val="22"/>
        </w:rPr>
        <w:t xml:space="preserve">O PCMSO define os exames:</w:t>
      </w:r>
      <w:r>
        <w:rPr>
          <w:rFonts w:ascii="Arial" w:cs="Arial" w:eastAsia="Arial" w:hAnsi="Arial"/>
          <w:color w:val="1A1A1A"/>
          <w:sz w:val="22"/>
          <w:szCs w:val="22"/>
        </w:rPr>
        <w:t xml:space="preserve"> com base no inventário, o médico coordenador define quais exames periódicos cada trabalhador deve realizar — incluindo exames específicos para os agentes de risco identificados (audiometria para exposição a ruído, hemograma para exposição a agentes químicos hematotóxicos, etc.).</w:t>
      </w:r>
    </w:p>
    <w:p>
      <w:pPr>
        <w:pStyle w:val="ListParagraph"/>
        <w:numPr>
          <w:ilvl w:val="0"/>
          <w:numId w:val="2"/>
        </w:numPr>
        <w:spacing w:after="60" w:before="60" w:line="276"/>
      </w:pPr>
      <w:r>
        <w:rPr>
          <w:rFonts w:ascii="Arial" w:cs="Arial" w:eastAsia="Arial" w:hAnsi="Arial"/>
          <w:b/>
          <w:bCs/>
          <w:color w:val="1A1A1A"/>
          <w:sz w:val="22"/>
          <w:szCs w:val="22"/>
        </w:rPr>
        <w:t xml:space="preserve">Os resultados retroalimentam o GRO:</w:t>
      </w:r>
      <w:r>
        <w:rPr>
          <w:rFonts w:ascii="Arial" w:cs="Arial" w:eastAsia="Arial" w:hAnsi="Arial"/>
          <w:color w:val="1A1A1A"/>
          <w:sz w:val="22"/>
          <w:szCs w:val="22"/>
        </w:rPr>
        <w:t xml:space="preserve"> achados médicos relevantes (como alterações audiométricas ou doenças ocupacionais diagnosticadas) devem ser reportados ao responsável pelo GRO para reavaliação das medidas de controle.</w:t>
      </w:r>
    </w:p>
    <w:p>
      <w:pPr>
        <w:spacing w:after="0" w:before="80"/>
      </w:pPr>
      <w:r>
        <w:t xml:space="preserve"/>
      </w:r>
    </w:p>
    <w:p>
      <w:pPr>
        <w:pStyle w:val="Heading3"/>
        <w:spacing w:after="80" w:before="200"/>
      </w:pPr>
      <w:r>
        <w:rPr>
          <w:rFonts w:ascii="Arial" w:cs="Arial" w:eastAsia="Arial" w:hAnsi="Arial"/>
          <w:b/>
          <w:bCs/>
          <w:color w:val="2DA67D"/>
          <w:sz w:val="23"/>
          <w:szCs w:val="23"/>
        </w:rPr>
        <w:t xml:space="preserve">Erros comuns na integração GRO-PCMSO</w:t>
      </w:r>
    </w:p>
    <w:p>
      <w:pPr>
        <w:pStyle w:val="ListParagraph"/>
        <w:numPr>
          <w:ilvl w:val="0"/>
          <w:numId w:val="2"/>
        </w:numPr>
        <w:spacing w:after="60" w:before="60" w:line="276"/>
      </w:pPr>
      <w:r>
        <w:rPr>
          <w:rFonts w:ascii="Arial" w:cs="Arial" w:eastAsia="Arial" w:hAnsi="Arial"/>
          <w:color w:val="1A1A1A"/>
          <w:sz w:val="22"/>
          <w:szCs w:val="22"/>
        </w:rPr>
        <w:t xml:space="preserve">PCMSO com exames genéricos não relacionados aos riscos do cargo — indica que não houve integração real com o PGR.</w:t>
      </w:r>
    </w:p>
    <w:p>
      <w:pPr>
        <w:pStyle w:val="ListParagraph"/>
        <w:numPr>
          <w:ilvl w:val="0"/>
          <w:numId w:val="2"/>
        </w:numPr>
        <w:spacing w:after="60" w:before="60" w:line="276"/>
      </w:pPr>
      <w:r>
        <w:rPr>
          <w:rFonts w:ascii="Arial" w:cs="Arial" w:eastAsia="Arial" w:hAnsi="Arial"/>
          <w:color w:val="1A1A1A"/>
          <w:sz w:val="22"/>
          <w:szCs w:val="22"/>
        </w:rPr>
        <w:t xml:space="preserve">PGR com riscos mapeados que não constam no PCMSO — indica inconsistência entre os documentos.</w:t>
      </w:r>
    </w:p>
    <w:p>
      <w:pPr>
        <w:pStyle w:val="ListParagraph"/>
        <w:numPr>
          <w:ilvl w:val="0"/>
          <w:numId w:val="2"/>
        </w:numPr>
        <w:spacing w:after="60" w:before="60" w:line="276"/>
      </w:pPr>
      <w:r>
        <w:rPr>
          <w:rFonts w:ascii="Arial" w:cs="Arial" w:eastAsia="Arial" w:hAnsi="Arial"/>
          <w:color w:val="1A1A1A"/>
          <w:sz w:val="22"/>
          <w:szCs w:val="22"/>
        </w:rPr>
        <w:t xml:space="preserve">Exames periódicos com periodicidade inadequada para o nível de risco identificado.</w:t>
      </w:r>
    </w:p>
    <w:p>
      <w:pPr>
        <w:pStyle w:val="ListParagraph"/>
        <w:numPr>
          <w:ilvl w:val="0"/>
          <w:numId w:val="2"/>
        </w:numPr>
        <w:spacing w:after="60" w:before="60" w:line="276"/>
      </w:pPr>
      <w:r>
        <w:rPr>
          <w:rFonts w:ascii="Arial" w:cs="Arial" w:eastAsia="Arial" w:hAnsi="Arial"/>
          <w:color w:val="1A1A1A"/>
          <w:sz w:val="22"/>
          <w:szCs w:val="22"/>
        </w:rPr>
        <w:t xml:space="preserve">Médico coordenador do PCMSO não teve acesso ao PGR antes de elaborar o programa.</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A67D" w:sz="16"/>
              <w:bottom w:val="none" w:color="FFFFFF" w:sz="0"/>
              <w:right w:val="none" w:color="FFFFFF" w:sz="0"/>
            </w:tcBorders>
            <w:shd w:fill="F4EDE0" w:val="clear"/>
            <w:tcMar>
              <w:top w:type="dxa" w:w="160"/>
              <w:left w:type="dxa" w:w="240"/>
              <w:bottom w:type="dxa" w:w="160"/>
              <w:right w:type="dxa" w:w="240"/>
            </w:tcMar>
          </w:tcPr>
          <w:p>
            <w:pPr>
              <w:spacing w:after="60" w:before="0"/>
            </w:pPr>
            <w:r>
              <w:rPr>
                <w:rFonts w:ascii="Arial" w:cs="Arial" w:eastAsia="Arial" w:hAnsi="Arial"/>
                <w:b/>
                <w:bCs/>
                <w:color w:val="2DA67D"/>
                <w:sz w:val="16"/>
                <w:szCs w:val="16"/>
              </w:rPr>
              <w:t xml:space="preserve">RESPONSABILIDADE PELO PCMSO</w:t>
            </w:r>
          </w:p>
          <w:p>
            <w:pPr>
              <w:spacing w:after="0" w:before="0" w:line="276"/>
              <w:jc w:val="both"/>
            </w:pPr>
            <w:r>
              <w:rPr>
                <w:rFonts w:ascii="Arial" w:cs="Arial" w:eastAsia="Arial" w:hAnsi="Arial"/>
                <w:color w:val="1A3A5C"/>
                <w:sz w:val="22"/>
                <w:szCs w:val="22"/>
              </w:rPr>
              <w:t xml:space="preserve">O PCMSO deve ser elaborado e assinado por médico do trabalho (especialista registrado no CRM com Residência em Medicina do Trabalho ou título de especialista pela ANAMT). O médico coordenador tem responsabilidade ética e legal pelo conteúdo do programa — mas a responsabilidade pela implementação é do empregador.</w:t>
            </w:r>
          </w:p>
        </w:tc>
      </w:tr>
    </w:tbl>
    <w:p>
      <w:pPr>
        <w:spacing w:after="0" w:before="120"/>
      </w:pPr>
      <w:r>
        <w:t xml:space="preserve"/>
      </w:r>
    </w:p>
    <w:p>
      <w:pPr>
        <w:spacing w:after="40" w:before="240"/>
      </w:pPr>
      <w:r>
        <w:rPr>
          <w:rFonts w:ascii="Arial" w:cs="Arial" w:eastAsia="Arial" w:hAnsi="Arial"/>
          <w:b/>
          <w:bCs/>
          <w:color w:val="C9A96E"/>
          <w:sz w:val="16"/>
          <w:szCs w:val="16"/>
        </w:rPr>
        <w:t xml:space="preserve">SEÇÃO 12</w:t>
      </w:r>
    </w:p>
    <w:p>
      <w:pPr>
        <w:pStyle w:val="Heading2"/>
        <w:pBdr>
          <w:bottom w:val="single" w:color="2DA67D" w:sz="4" w:space="4"/>
        </w:pBdr>
        <w:spacing w:after="120" w:before="280"/>
      </w:pPr>
      <w:r>
        <w:rPr>
          <w:rFonts w:ascii="Arial" w:cs="Arial" w:eastAsia="Arial" w:hAnsi="Arial"/>
          <w:b/>
          <w:bCs/>
          <w:color w:val="1A3A5C"/>
          <w:sz w:val="26"/>
          <w:szCs w:val="26"/>
        </w:rPr>
        <w:t xml:space="preserve">Inventário de riscos — metodologia e documentação</w:t>
      </w:r>
    </w:p>
    <w:p>
      <w:pPr>
        <w:pStyle w:val="Heading3"/>
        <w:spacing w:after="80" w:before="200"/>
      </w:pPr>
      <w:r>
        <w:rPr>
          <w:rFonts w:ascii="Arial" w:cs="Arial" w:eastAsia="Arial" w:hAnsi="Arial"/>
          <w:b/>
          <w:bCs/>
          <w:color w:val="2DA67D"/>
          <w:sz w:val="23"/>
          <w:szCs w:val="23"/>
        </w:rPr>
        <w:t xml:space="preserve">Estrutura recomendada do inventário</w:t>
      </w:r>
    </w:p>
    <w:p>
      <w:pPr>
        <w:spacing w:after="120" w:before="60" w:line="276"/>
        <w:jc w:val="both"/>
      </w:pPr>
      <w:r>
        <w:rPr>
          <w:rFonts w:ascii="Arial" w:cs="Arial" w:eastAsia="Arial" w:hAnsi="Arial"/>
          <w:color w:val="1A1A1A"/>
          <w:sz w:val="22"/>
          <w:szCs w:val="22"/>
        </w:rPr>
        <w:t xml:space="preserve">O inventário de riscos deve ser organizado de forma que permita localizar rapidamente os riscos por área, função e agente. A estrutura mínima recomendada para cada registro é:</w:t>
      </w:r>
    </w:p>
    <w:p>
      <w:pPr>
        <w:spacing w:after="0" w:before="60"/>
      </w:pPr>
      <w:r>
        <w:t xml:space="preserve"/>
      </w:r>
    </w:p>
    <w:p>
      <w:pPr>
        <w:pStyle w:val="ListParagraph"/>
        <w:numPr>
          <w:ilvl w:val="0"/>
          <w:numId w:val="2"/>
        </w:numPr>
        <w:spacing w:after="60" w:before="60" w:line="276"/>
      </w:pPr>
      <w:r>
        <w:rPr>
          <w:rFonts w:ascii="Arial" w:cs="Arial" w:eastAsia="Arial" w:hAnsi="Arial"/>
          <w:b/>
          <w:bCs/>
          <w:color w:val="1A1A1A"/>
          <w:sz w:val="22"/>
          <w:szCs w:val="22"/>
        </w:rPr>
        <w:t xml:space="preserve">Identificação:</w:t>
      </w:r>
      <w:r>
        <w:rPr>
          <w:rFonts w:ascii="Arial" w:cs="Arial" w:eastAsia="Arial" w:hAnsi="Arial"/>
          <w:color w:val="1A1A1A"/>
          <w:sz w:val="22"/>
          <w:szCs w:val="22"/>
        </w:rPr>
        <w:t xml:space="preserve"> área/setor, função/cargo, número de trabalhadores expostos.</w:t>
      </w:r>
    </w:p>
    <w:p>
      <w:pPr>
        <w:pStyle w:val="ListParagraph"/>
        <w:numPr>
          <w:ilvl w:val="0"/>
          <w:numId w:val="2"/>
        </w:numPr>
        <w:spacing w:after="60" w:before="60" w:line="276"/>
      </w:pPr>
      <w:r>
        <w:rPr>
          <w:rFonts w:ascii="Arial" w:cs="Arial" w:eastAsia="Arial" w:hAnsi="Arial"/>
          <w:b/>
          <w:bCs/>
          <w:color w:val="1A1A1A"/>
          <w:sz w:val="22"/>
          <w:szCs w:val="22"/>
        </w:rPr>
        <w:t xml:space="preserve">Agente de risco:</w:t>
      </w:r>
      <w:r>
        <w:rPr>
          <w:rFonts w:ascii="Arial" w:cs="Arial" w:eastAsia="Arial" w:hAnsi="Arial"/>
          <w:color w:val="1A1A1A"/>
          <w:sz w:val="22"/>
          <w:szCs w:val="22"/>
        </w:rPr>
        <w:t xml:space="preserve"> descrição específica (ex.: 'ruído contínuo gerado por compressor modelo X' — não apenas 'ruído').</w:t>
      </w:r>
    </w:p>
    <w:p>
      <w:pPr>
        <w:pStyle w:val="ListParagraph"/>
        <w:numPr>
          <w:ilvl w:val="0"/>
          <w:numId w:val="2"/>
        </w:numPr>
        <w:spacing w:after="60" w:before="60" w:line="276"/>
      </w:pPr>
      <w:r>
        <w:rPr>
          <w:rFonts w:ascii="Arial" w:cs="Arial" w:eastAsia="Arial" w:hAnsi="Arial"/>
          <w:b/>
          <w:bCs/>
          <w:color w:val="1A1A1A"/>
          <w:sz w:val="22"/>
          <w:szCs w:val="22"/>
        </w:rPr>
        <w:t xml:space="preserve">Categoria:</w:t>
      </w:r>
      <w:r>
        <w:rPr>
          <w:rFonts w:ascii="Arial" w:cs="Arial" w:eastAsia="Arial" w:hAnsi="Arial"/>
          <w:color w:val="1A1A1A"/>
          <w:sz w:val="22"/>
          <w:szCs w:val="22"/>
        </w:rPr>
        <w:t xml:space="preserve"> físico, químico, biológico, ergonômico ou psicossocial.</w:t>
      </w:r>
    </w:p>
    <w:p>
      <w:pPr>
        <w:pStyle w:val="ListParagraph"/>
        <w:numPr>
          <w:ilvl w:val="0"/>
          <w:numId w:val="2"/>
        </w:numPr>
        <w:spacing w:after="60" w:before="60" w:line="276"/>
      </w:pPr>
      <w:r>
        <w:rPr>
          <w:rFonts w:ascii="Arial" w:cs="Arial" w:eastAsia="Arial" w:hAnsi="Arial"/>
          <w:b/>
          <w:bCs/>
          <w:color w:val="1A1A1A"/>
          <w:sz w:val="22"/>
          <w:szCs w:val="22"/>
        </w:rPr>
        <w:t xml:space="preserve">Fonte ou processo:</w:t>
      </w:r>
      <w:r>
        <w:rPr>
          <w:rFonts w:ascii="Arial" w:cs="Arial" w:eastAsia="Arial" w:hAnsi="Arial"/>
          <w:color w:val="1A1A1A"/>
          <w:sz w:val="22"/>
          <w:szCs w:val="22"/>
        </w:rPr>
        <w:t xml:space="preserve"> origem do risco no processo produtivo.</w:t>
      </w:r>
    </w:p>
    <w:p>
      <w:pPr>
        <w:pStyle w:val="ListParagraph"/>
        <w:numPr>
          <w:ilvl w:val="0"/>
          <w:numId w:val="2"/>
        </w:numPr>
        <w:spacing w:after="60" w:before="60" w:line="276"/>
      </w:pPr>
      <w:r>
        <w:rPr>
          <w:rFonts w:ascii="Arial" w:cs="Arial" w:eastAsia="Arial" w:hAnsi="Arial"/>
          <w:b/>
          <w:bCs/>
          <w:color w:val="1A1A1A"/>
          <w:sz w:val="22"/>
          <w:szCs w:val="22"/>
        </w:rPr>
        <w:t xml:space="preserve">Avaliação:</w:t>
      </w:r>
      <w:r>
        <w:rPr>
          <w:rFonts w:ascii="Arial" w:cs="Arial" w:eastAsia="Arial" w:hAnsi="Arial"/>
          <w:color w:val="1A1A1A"/>
          <w:sz w:val="22"/>
          <w:szCs w:val="22"/>
        </w:rPr>
        <w:t xml:space="preserve"> nível de risco (baixo, médio, alto, crítico) com metodologia utilizada.</w:t>
      </w:r>
    </w:p>
    <w:p>
      <w:pPr>
        <w:pStyle w:val="ListParagraph"/>
        <w:numPr>
          <w:ilvl w:val="0"/>
          <w:numId w:val="2"/>
        </w:numPr>
        <w:spacing w:after="60" w:before="60" w:line="276"/>
      </w:pPr>
      <w:r>
        <w:rPr>
          <w:rFonts w:ascii="Arial" w:cs="Arial" w:eastAsia="Arial" w:hAnsi="Arial"/>
          <w:b/>
          <w:bCs/>
          <w:color w:val="1A1A1A"/>
          <w:sz w:val="22"/>
          <w:szCs w:val="22"/>
        </w:rPr>
        <w:t xml:space="preserve">Medida de controle:</w:t>
      </w:r>
      <w:r>
        <w:rPr>
          <w:rFonts w:ascii="Arial" w:cs="Arial" w:eastAsia="Arial" w:hAnsi="Arial"/>
          <w:color w:val="1A1A1A"/>
          <w:sz w:val="22"/>
          <w:szCs w:val="22"/>
        </w:rPr>
        <w:t xml:space="preserve"> existente (com descrição e evidência) e prevista (com prazo e responsável).</w:t>
      </w:r>
    </w:p>
    <w:p>
      <w:pPr>
        <w:pStyle w:val="ListParagraph"/>
        <w:numPr>
          <w:ilvl w:val="0"/>
          <w:numId w:val="2"/>
        </w:numPr>
        <w:spacing w:after="60" w:before="60" w:line="276"/>
      </w:pPr>
      <w:r>
        <w:rPr>
          <w:rFonts w:ascii="Arial" w:cs="Arial" w:eastAsia="Arial" w:hAnsi="Arial"/>
          <w:b/>
          <w:bCs/>
          <w:color w:val="1A1A1A"/>
          <w:sz w:val="22"/>
          <w:szCs w:val="22"/>
        </w:rPr>
        <w:t xml:space="preserve">Status:</w:t>
      </w:r>
      <w:r>
        <w:rPr>
          <w:rFonts w:ascii="Arial" w:cs="Arial" w:eastAsia="Arial" w:hAnsi="Arial"/>
          <w:color w:val="1A1A1A"/>
          <w:sz w:val="22"/>
          <w:szCs w:val="22"/>
        </w:rPr>
        <w:t xml:space="preserve"> implementada, em andamento ou pendente.</w:t>
      </w:r>
    </w:p>
    <w:p>
      <w:pPr>
        <w:spacing w:after="0" w:before="80"/>
      </w:pPr>
      <w:r>
        <w:t xml:space="preserve"/>
      </w:r>
    </w:p>
    <w:p>
      <w:pPr>
        <w:pStyle w:val="Heading3"/>
        <w:spacing w:after="80" w:before="200"/>
      </w:pPr>
      <w:r>
        <w:rPr>
          <w:rFonts w:ascii="Arial" w:cs="Arial" w:eastAsia="Arial" w:hAnsi="Arial"/>
          <w:b/>
          <w:bCs/>
          <w:color w:val="2DA67D"/>
          <w:sz w:val="23"/>
          <w:szCs w:val="23"/>
        </w:rPr>
        <w:t xml:space="preserve">Ferramentas para inventário de riscos psicossociais</w:t>
      </w:r>
    </w:p>
    <w:p>
      <w:pPr>
        <w:spacing w:after="120" w:before="60" w:line="276"/>
        <w:jc w:val="both"/>
      </w:pPr>
      <w:r>
        <w:rPr>
          <w:rFonts w:ascii="Arial" w:cs="Arial" w:eastAsia="Arial" w:hAnsi="Arial"/>
          <w:color w:val="1A1A1A"/>
          <w:sz w:val="22"/>
          <w:szCs w:val="22"/>
        </w:rPr>
        <w:t xml:space="preserve">O mapeamento de riscos psicossociais requer ferramentas específicas, pois depende do relato dos trabalhadores — não de medições instrumentais. As ferramentas validadas mais utilizadas no Brasil são:</w:t>
      </w:r>
    </w:p>
    <w:p>
      <w:pPr>
        <w:spacing w:after="0" w:before="60"/>
      </w:pPr>
      <w:r>
        <w:t xml:space="preserve"/>
      </w:r>
    </w:p>
    <w:p>
      <w:pPr>
        <w:pStyle w:val="ListParagraph"/>
        <w:numPr>
          <w:ilvl w:val="0"/>
          <w:numId w:val="2"/>
        </w:numPr>
        <w:spacing w:after="60" w:before="60" w:line="276"/>
      </w:pPr>
      <w:r>
        <w:rPr>
          <w:rFonts w:ascii="Arial" w:cs="Arial" w:eastAsia="Arial" w:hAnsi="Arial"/>
          <w:b/>
          <w:bCs/>
          <w:color w:val="1A1A1A"/>
          <w:sz w:val="22"/>
          <w:szCs w:val="22"/>
        </w:rPr>
        <w:t xml:space="preserve">COPSOQ II (Copenhagen Psychosocial Questionnaire):</w:t>
      </w:r>
      <w:r>
        <w:rPr>
          <w:rFonts w:ascii="Arial" w:cs="Arial" w:eastAsia="Arial" w:hAnsi="Arial"/>
          <w:color w:val="1A1A1A"/>
          <w:sz w:val="22"/>
          <w:szCs w:val="22"/>
        </w:rPr>
        <w:t xml:space="preserve"> questionário com versão validada em português, amplamente utilizado para avaliação de riscos psicossociais em diversos setores.</w:t>
      </w:r>
    </w:p>
    <w:p>
      <w:pPr>
        <w:pStyle w:val="ListParagraph"/>
        <w:numPr>
          <w:ilvl w:val="0"/>
          <w:numId w:val="2"/>
        </w:numPr>
        <w:spacing w:after="60" w:before="60" w:line="276"/>
      </w:pPr>
      <w:r>
        <w:rPr>
          <w:rFonts w:ascii="Arial" w:cs="Arial" w:eastAsia="Arial" w:hAnsi="Arial"/>
          <w:b/>
          <w:bCs/>
          <w:color w:val="1A1A1A"/>
          <w:sz w:val="22"/>
          <w:szCs w:val="22"/>
        </w:rPr>
        <w:t xml:space="preserve">MBI (Maslach Burnout Inventory):</w:t>
      </w:r>
      <w:r>
        <w:rPr>
          <w:rFonts w:ascii="Arial" w:cs="Arial" w:eastAsia="Arial" w:hAnsi="Arial"/>
          <w:color w:val="1A1A1A"/>
          <w:sz w:val="22"/>
          <w:szCs w:val="22"/>
        </w:rPr>
        <w:t xml:space="preserve"> instrumento específico para avaliação de burnout — exaustão emocional, despersonalização e realização profissional.</w:t>
      </w:r>
    </w:p>
    <w:p>
      <w:pPr>
        <w:pStyle w:val="ListParagraph"/>
        <w:numPr>
          <w:ilvl w:val="0"/>
          <w:numId w:val="2"/>
        </w:numPr>
        <w:spacing w:after="60" w:before="60" w:line="276"/>
      </w:pPr>
      <w:r>
        <w:rPr>
          <w:rFonts w:ascii="Arial" w:cs="Arial" w:eastAsia="Arial" w:hAnsi="Arial"/>
          <w:b/>
          <w:bCs/>
          <w:color w:val="1A1A1A"/>
          <w:sz w:val="22"/>
          <w:szCs w:val="22"/>
        </w:rPr>
        <w:t xml:space="preserve">Questionário da OIT-OMS:</w:t>
      </w:r>
      <w:r>
        <w:rPr>
          <w:rFonts w:ascii="Arial" w:cs="Arial" w:eastAsia="Arial" w:hAnsi="Arial"/>
          <w:color w:val="1A1A1A"/>
          <w:sz w:val="22"/>
          <w:szCs w:val="22"/>
        </w:rPr>
        <w:t xml:space="preserve"> ferramenta mais simples, recomendada para pequenas e médias empresas com estrutura de SST menos desenvolvida.</w:t>
      </w:r>
    </w:p>
    <w:p>
      <w:pPr>
        <w:spacing w:after="0" w:before="60"/>
      </w:pPr>
      <w:r>
        <w:t xml:space="preserve"/>
      </w:r>
    </w:p>
    <w:p>
      <w:pPr>
        <w:spacing w:after="120" w:before="60" w:line="276"/>
        <w:jc w:val="both"/>
      </w:pPr>
      <w:r>
        <w:rPr>
          <w:rFonts w:ascii="Arial" w:cs="Arial" w:eastAsia="Arial" w:hAnsi="Arial"/>
          <w:color w:val="1A1A1A"/>
          <w:sz w:val="22"/>
          <w:szCs w:val="22"/>
        </w:rPr>
        <w:t xml:space="preserve">A aplicação deve ser anônima, por área ou departamento (não por indivíduo), com análise dos resultados por profissional de SST ou psicólogo organizacional. Os resultados alimentam o inventário de riscos psicossociais do PGR e definem as medidas de controle organizacionais a serem implementadas.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DA67D" w:sz="16"/>
              <w:bottom w:val="none" w:color="FFFFFF" w:sz="0"/>
              <w:right w:val="none" w:color="FFFFFF" w:sz="0"/>
            </w:tcBorders>
            <w:shd w:fill="F4EDE0" w:val="clear"/>
            <w:tcMar>
              <w:top w:type="dxa" w:w="160"/>
              <w:left w:type="dxa" w:w="240"/>
              <w:bottom w:type="dxa" w:w="160"/>
              <w:right w:type="dxa" w:w="240"/>
            </w:tcMar>
          </w:tcPr>
          <w:p>
            <w:pPr>
              <w:spacing w:after="60" w:before="0"/>
            </w:pPr>
            <w:r>
              <w:rPr>
                <w:rFonts w:ascii="Arial" w:cs="Arial" w:eastAsia="Arial" w:hAnsi="Arial"/>
                <w:b/>
                <w:bCs/>
                <w:color w:val="2DA67D"/>
                <w:sz w:val="16"/>
                <w:szCs w:val="16"/>
              </w:rPr>
              <w:t xml:space="preserve">NOTA TÉCNICA · BASE LEGAL</w:t>
            </w:r>
          </w:p>
          <w:p>
            <w:pPr>
              <w:spacing w:after="0" w:before="0" w:line="276"/>
              <w:jc w:val="both"/>
            </w:pPr>
            <w:r>
              <w:rPr>
                <w:rFonts w:ascii="Arial" w:cs="Arial" w:eastAsia="Arial" w:hAnsi="Arial"/>
                <w:color w:val="1A3A5C"/>
                <w:sz w:val="22"/>
                <w:szCs w:val="22"/>
              </w:rPr>
              <w:t xml:space="preserve">O conteúdo técnico deste módulo foi elaborado com base na NR-1 atualizada (Portaria MTE 1.419/2024), na NR-9 (Avaliação e Controle das Exposições Ocupacionais), na NR-17 (Ergonomia) e nas diretrizes da OIT para gestão de riscos psicossociais (SOLVE, 2012). Para elaboração do inventário de riscos e do PGR, recomenda-se assessoria de profissional de SST habilitado conforme NR-4.</w:t>
            </w:r>
          </w:p>
        </w:tc>
      </w:tr>
    </w:tbl>
    <w:p>
      <w:pPr>
        <w:spacing w:after="0" w:before="200"/>
      </w:pPr>
      <w:r>
        <w:t xml:space="preserve"/>
      </w:r>
    </w:p>
    <w:p>
      <w:r>
        <w:br w:type="page"/>
      </w:r>
    </w:p>
    <w:p>
      <w:pPr>
        <w:spacing w:after="40" w:before="240"/>
      </w:pPr>
      <w:r>
        <w:rPr>
          <w:rFonts w:ascii="Arial" w:cs="Arial" w:eastAsia="Arial" w:hAnsi="Arial"/>
          <w:b/>
          <w:bCs/>
          <w:color w:val="C9A96E"/>
          <w:sz w:val="16"/>
          <w:szCs w:val="16"/>
        </w:rPr>
        <w:t xml:space="preserve">QUIZ DE FIXAÇÃO</w:t>
      </w:r>
    </w:p>
    <w:p>
      <w:pPr>
        <w:pStyle w:val="Heading2"/>
        <w:pBdr>
          <w:bottom w:val="single" w:color="2DA67D" w:sz="4" w:space="4"/>
        </w:pBdr>
        <w:spacing w:after="120" w:before="280"/>
      </w:pPr>
      <w:r>
        <w:rPr>
          <w:rFonts w:ascii="Arial" w:cs="Arial" w:eastAsia="Arial" w:hAnsi="Arial"/>
          <w:b/>
          <w:bCs/>
          <w:color w:val="1A3A5C"/>
          <w:sz w:val="26"/>
          <w:szCs w:val="26"/>
        </w:rPr>
        <w:t xml:space="preserve">Percurso Gestor de RH — 6 questões</w:t>
      </w:r>
    </w:p>
    <w:p>
      <w:pPr>
        <w:spacing w:after="120" w:before="60" w:line="276"/>
        <w:jc w:val="both"/>
      </w:pPr>
      <w:r>
        <w:rPr>
          <w:rFonts w:ascii="Arial" w:cs="Arial" w:eastAsia="Arial" w:hAnsi="Arial"/>
          <w:color w:val="1A1A1A"/>
          <w:sz w:val="22"/>
          <w:szCs w:val="22"/>
        </w:rPr>
        <w:t xml:space="preserve">Quiz técnico para validação de conhecimento. Pontuação mínima recomendada para certificação: 5 de 6 questões corretas.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1. </w:t>
            </w:r>
            <w:r>
              <w:rPr>
                <w:rFonts w:ascii="Arial" w:cs="Arial" w:eastAsia="Arial" w:hAnsi="Arial"/>
                <w:b/>
                <w:bCs/>
                <w:color w:val="FFFFFF"/>
                <w:sz w:val="22"/>
                <w:szCs w:val="22"/>
              </w:rPr>
              <w:t xml:space="preserve">Qual das seguintes fontes de informação é especialmente relevante para identificação de riscos psicossociais na etapa de identificação de perigos do GRO?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Fichas de dados de segurança de produtos químicos (FISPQ)</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Medições instrumentais de ruído e temperatura realizadas por higienista ocupacional</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Entrevistas e questionários com os trabalhadores — pois esses riscos dependem do relato de quem executa a atividade</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Laudos de engenharia de segurança sobre as instalações físicas</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Entrevistas e questionários com os trabalhadores — pois esses riscos dependem do relato de quem executa a atividade</w:t>
            </w:r>
          </w:p>
          <w:p>
            <w:r>
              <w:rPr>
                <w:rFonts w:ascii="Arial" w:cs="Arial" w:eastAsia="Arial" w:hAnsi="Arial"/>
                <w:i/>
                <w:iCs/>
                <w:color w:val="1A3A5C"/>
                <w:sz w:val="20"/>
                <w:szCs w:val="20"/>
              </w:rPr>
              <w:t xml:space="preserve">Diferentemente de riscos físicos ou químicos — que podem ser medidos instrumentalmente —, os riscos psicossociais dependem da percepção e do relato dos trabalhadores para serem identificados com precisão. Por isso, questionários validados como o COPSOQ II e entrevistas estruturadas são as principais ferramentas de identificação.</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2. </w:t>
            </w:r>
            <w:r>
              <w:rPr>
                <w:rFonts w:ascii="Arial" w:cs="Arial" w:eastAsia="Arial" w:hAnsi="Arial"/>
                <w:b/>
                <w:bCs/>
                <w:color w:val="FFFFFF"/>
                <w:sz w:val="22"/>
                <w:szCs w:val="22"/>
              </w:rPr>
              <w:t xml:space="preserve">A NR-1 impõe uma metodologia específica obrigatória para a etapa de avaliação de riscos?</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Sim — a Matriz de Risco (probabilidade × severidade) é a única metodologia aceita</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Sim — o APR (Análise Preliminar de Riscos) é obrigatório para todas as atividades</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Não — a NR-1 exige que a metodologia seja documentada e justificada, mas não impõe uma metodologia específica</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Sim — o FMEA é obrigatório para empresas com mais de 100 trabalhadores</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Não — a NR-1 exige que a metodologia seja documentada e justificada, mas não impõe uma metodologia específica</w:t>
            </w:r>
          </w:p>
          <w:p>
            <w:r>
              <w:rPr>
                <w:rFonts w:ascii="Arial" w:cs="Arial" w:eastAsia="Arial" w:hAnsi="Arial"/>
                <w:i/>
                <w:iCs/>
                <w:color w:val="1A3A5C"/>
                <w:sz w:val="20"/>
                <w:szCs w:val="20"/>
              </w:rPr>
              <w:t xml:space="preserve">A NR-1 dá liberdade metodológica ao empregador — o que importa é que a metodologia escolhida seja adequada ao tipo de risco avaliado, documentada no PGR e consistentemente aplicada. As mais utilizadas no Brasil são Matriz de Risco, APR, FMEA e, para riscos psicossociais, o COPSOQ II.</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3. </w:t>
            </w:r>
            <w:r>
              <w:rPr>
                <w:rFonts w:ascii="Arial" w:cs="Arial" w:eastAsia="Arial" w:hAnsi="Arial"/>
                <w:b/>
                <w:bCs/>
                <w:color w:val="FFFFFF"/>
                <w:sz w:val="22"/>
                <w:szCs w:val="22"/>
              </w:rPr>
              <w:t xml:space="preserve">Quais são os quatro elementos mínimos obrigatórios do PGR segundo a NR-1 atualizada?</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Laudo de insalubridade, laudo de periculosidade, PPRA e PCMSO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Inventário de riscos, plano de ação, registros de monitoramento e integração com o PCMSO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Organograma de SST, mapa de riscos, plano de emergência e CIPA constituída</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Certificados de treinamento, EPIs fornecidos, CATs emitidas e relatório de acidentes</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B) Inventário de riscos, plano de ação, registros de monitoramento e integração com o PCMSO</w:t>
            </w:r>
          </w:p>
          <w:p>
            <w:r>
              <w:rPr>
                <w:rFonts w:ascii="Arial" w:cs="Arial" w:eastAsia="Arial" w:hAnsi="Arial"/>
                <w:i/>
                <w:iCs/>
                <w:color w:val="1A3A5C"/>
                <w:sz w:val="20"/>
                <w:szCs w:val="20"/>
              </w:rPr>
              <w:t xml:space="preserve">Esses quatro elementos compõem a estrutura mínima obrigatória do PGR. A ausência de qualquer deles pode resultar em autuação. O inventário documenta os riscos; o plano de ação define as medidas; os registros de monitoramento comprovam a continuidade do GRO; e a integração com o PCMSO alinha saúde e segurança.</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4. </w:t>
            </w:r>
            <w:r>
              <w:rPr>
                <w:rFonts w:ascii="Arial" w:cs="Arial" w:eastAsia="Arial" w:hAnsi="Arial"/>
                <w:b/>
                <w:bCs/>
                <w:color w:val="FFFFFF"/>
                <w:sz w:val="22"/>
                <w:szCs w:val="22"/>
              </w:rPr>
              <w:t xml:space="preserve">O que indica uma inconsistência entre o PGR e o PCMSO?</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O PGR foi elaborado por engenheiro de segurança e o PCMSO por médico do trabalho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O PCMSO inclui exames genéricos não relacionados aos riscos documentados no inventário do PGR</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O PGR é revisado anualmente enquanto o PCMSO é revisado a cada dois anos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O responsável pelo PGR e o médico coordenador do PCMSO são profissionais diferentes</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B) O PCMSO inclui exames genéricos não relacionados aos riscos documentados no inventário do PGR</w:t>
            </w:r>
          </w:p>
          <w:p>
            <w:r>
              <w:rPr>
                <w:rFonts w:ascii="Arial" w:cs="Arial" w:eastAsia="Arial" w:hAnsi="Arial"/>
                <w:i/>
                <w:iCs/>
                <w:color w:val="1A3A5C"/>
                <w:sz w:val="20"/>
                <w:szCs w:val="20"/>
              </w:rPr>
              <w:t xml:space="preserve">A integração GRO-PCMSO exige que os exames periódicos sejam definidos com base nos riscos do PGR. Se o PCMSO tem exames genéricos que não correspondem aos riscos mapeados — ou se riscos documentados no PGR não estão refletidos em exames específicos no PCMSO —, isso indica ausência de integração real e é cobrado nas fiscalizações.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5. </w:t>
            </w:r>
            <w:r>
              <w:rPr>
                <w:rFonts w:ascii="Arial" w:cs="Arial" w:eastAsia="Arial" w:hAnsi="Arial"/>
                <w:b/>
                <w:bCs/>
                <w:color w:val="FFFFFF"/>
                <w:sz w:val="22"/>
                <w:szCs w:val="22"/>
              </w:rPr>
              <w:t xml:space="preserve">Qual ferramenta é recomendada para mapeamento de riscos psicossociais em empresas de pequeno e médio porte com estrutura de SST menos desenvolvida?</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FMEA (Failure Mode and Effects Analysis)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APR (Análise Preliminar de Riscos)</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Questionário da OIT-OMS — ferramenta mais simples e acessível</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NR-7 — que define o protocolo padrão para avaliação psicossocial</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Questionário da OIT-OMS — ferramenta mais simples e acessível</w:t>
            </w:r>
          </w:p>
          <w:p>
            <w:r>
              <w:rPr>
                <w:rFonts w:ascii="Arial" w:cs="Arial" w:eastAsia="Arial" w:hAnsi="Arial"/>
                <w:i/>
                <w:iCs/>
                <w:color w:val="1A3A5C"/>
                <w:sz w:val="20"/>
                <w:szCs w:val="20"/>
              </w:rPr>
              <w:t xml:space="preserve">Para empresas com estrutura de SST menos desenvolvida, o Questionário da OIT-OMS oferece uma alternativa mais simples ao COPSOQ II, mantendo a validade técnica necessária para o PGR. O COPSOQ II é mais completo e recomendado para empresas com maior estrutura de SST ou com histórico de afastamentos por transtornos mentais.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B2545" w:val="clear"/>
            <w:tcMar>
              <w:top w:type="dxa" w:w="120"/>
              <w:left w:type="dxa" w:w="200"/>
              <w:bottom w:type="dxa" w:w="120"/>
              <w:right w:type="dxa" w:w="200"/>
            </w:tcMar>
          </w:tcPr>
          <w:p>
            <w:r>
              <w:rPr>
                <w:rFonts w:ascii="Arial" w:cs="Arial" w:eastAsia="Arial" w:hAnsi="Arial"/>
                <w:b/>
                <w:bCs/>
                <w:color w:val="C9A96E"/>
                <w:sz w:val="22"/>
                <w:szCs w:val="22"/>
              </w:rPr>
              <w:t xml:space="preserve">6. </w:t>
            </w:r>
            <w:r>
              <w:rPr>
                <w:rFonts w:ascii="Arial" w:cs="Arial" w:eastAsia="Arial" w:hAnsi="Arial"/>
                <w:b/>
                <w:bCs/>
                <w:color w:val="FFFFFF"/>
                <w:sz w:val="22"/>
                <w:szCs w:val="22"/>
              </w:rPr>
              <w:t xml:space="preserve">Em quais situações o PGR deve obrigatoriamente ser revisado, além da periodicidade regular?</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A) Apenas após acidente com afastamento superior a 15 dias</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B) Apenas quando o MTE solicitar durante fiscalização programada</w:t>
            </w:r>
          </w:p>
        </w:tc>
      </w:tr>
      <w:tr>
        <w:tc>
          <w:tcPr>
            <w:tcBorders>
              <w:top w:val="none" w:color="FFFFFF" w:sz="0"/>
              <w:left w:val="none" w:color="FFFFFF" w:sz="0"/>
              <w:bottom w:val="none" w:color="FFFFFF" w:sz="0"/>
              <w:right w:val="none" w:color="FFFFFF" w:sz="0"/>
            </w:tcBorders>
            <w:shd w:fill="F7F7F7" w:val="clear"/>
            <w:tcMar>
              <w:top w:type="dxa" w:w="80"/>
              <w:left w:type="dxa" w:w="200"/>
              <w:bottom w:type="dxa" w:w="80"/>
              <w:right w:type="dxa" w:w="200"/>
            </w:tcMar>
          </w:tcPr>
          <w:p>
            <w:r>
              <w:rPr>
                <w:rFonts w:ascii="Arial" w:cs="Arial" w:eastAsia="Arial" w:hAnsi="Arial"/>
                <w:color w:val="1A1A1A"/>
                <w:sz w:val="22"/>
                <w:szCs w:val="22"/>
              </w:rPr>
              <w:t xml:space="preserve">C) Após acidentes, mudanças significativas no processo ou ambiente, e quando indicadores de SST sinalizarem deterioração</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r>
              <w:rPr>
                <w:rFonts w:ascii="Arial" w:cs="Arial" w:eastAsia="Arial" w:hAnsi="Arial"/>
                <w:color w:val="1A1A1A"/>
                <w:sz w:val="22"/>
                <w:szCs w:val="22"/>
              </w:rPr>
              <w:t xml:space="preserve">D) Somente quando houver troca do profissional de SST responsável pela elaboração</w:t>
            </w:r>
          </w:p>
        </w:tc>
      </w:tr>
      <w:tr>
        <w:tc>
          <w:tcPr>
            <w:tcBorders>
              <w:top w:val="single" w:color="2DA67D" w:sz="4"/>
              <w:left w:val="none" w:color="FFFFFF" w:sz="0"/>
              <w:bottom w:val="none" w:color="FFFFFF" w:sz="0"/>
              <w:right w:val="none" w:color="FFFFFF" w:sz="0"/>
            </w:tcBorders>
            <w:shd w:fill="E8F5EE" w:val="clear"/>
            <w:tcMar>
              <w:top w:type="dxa" w:w="100"/>
              <w:left w:type="dxa" w:w="200"/>
              <w:bottom w:type="dxa" w:w="100"/>
              <w:right w:type="dxa" w:w="200"/>
            </w:tcMar>
          </w:tcPr>
          <w:p>
            <w:pPr>
              <w:spacing w:after="60" w:before="0"/>
            </w:pPr>
            <w:r>
              <w:rPr>
                <w:rFonts w:ascii="Arial" w:cs="Arial" w:eastAsia="Arial" w:hAnsi="Arial"/>
                <w:b/>
                <w:bCs/>
                <w:color w:val="2DA67D"/>
                <w:sz w:val="20"/>
                <w:szCs w:val="20"/>
              </w:rPr>
              <w:t xml:space="preserve">✓ Resposta correta: C) Após acidentes, mudanças significativas no processo ou ambiente, e quando indicadores de SST sinalizarem deterioração</w:t>
            </w:r>
          </w:p>
          <w:p>
            <w:r>
              <w:rPr>
                <w:rFonts w:ascii="Arial" w:cs="Arial" w:eastAsia="Arial" w:hAnsi="Arial"/>
                <w:i/>
                <w:iCs/>
                <w:color w:val="1A3A5C"/>
                <w:sz w:val="20"/>
                <w:szCs w:val="20"/>
              </w:rPr>
              <w:t xml:space="preserve">A NR-1 exige que o GRO seja contínuo — o PGR deve ser revisado sempre que houver mudança relevante que possa alterar os riscos, após acidentes que possam indicar falhas nas medidas de controle, e quando indicadores negativos (afastamentos crescentes, quase-acidentes recorrentes) sinalizarem que algo não está funcionando.</w:t>
            </w:r>
          </w:p>
        </w:tc>
      </w:tr>
    </w:tbl>
    <w:p>
      <w:pPr>
        <w:spacing w:after="0" w:before="200"/>
      </w:pPr>
      <w:r>
        <w:t xml:space="preserve"/>
      </w:r>
    </w:p>
    <w:p>
      <w:r>
        <w:br w:type="page"/>
      </w:r>
    </w:p>
    <w:p>
      <w:pPr>
        <w:spacing w:after="40" w:before="240"/>
      </w:pPr>
      <w:r>
        <w:rPr>
          <w:rFonts w:ascii="Arial" w:cs="Arial" w:eastAsia="Arial" w:hAnsi="Arial"/>
          <w:b/>
          <w:bCs/>
          <w:color w:val="C9A96E"/>
          <w:sz w:val="16"/>
          <w:szCs w:val="16"/>
        </w:rPr>
        <w:t xml:space="preserve">ROTEIRO DE VÍDEO-AULA</w:t>
      </w:r>
    </w:p>
    <w:p>
      <w:pPr>
        <w:pStyle w:val="Heading2"/>
        <w:pBdr>
          <w:bottom w:val="single" w:color="2DA67D" w:sz="4" w:space="4"/>
        </w:pBdr>
        <w:spacing w:after="120" w:before="280"/>
      </w:pPr>
      <w:r>
        <w:rPr>
          <w:rFonts w:ascii="Arial" w:cs="Arial" w:eastAsia="Arial" w:hAnsi="Arial"/>
          <w:b/>
          <w:bCs/>
          <w:color w:val="1A3A5C"/>
          <w:sz w:val="26"/>
          <w:szCs w:val="26"/>
        </w:rPr>
        <w:t xml:space="preserve">Percurso Colaborador — 5 minutos</w:t>
      </w:r>
    </w:p>
    <w:p>
      <w:pPr>
        <w:spacing w:after="120" w:before="60" w:line="276"/>
        <w:jc w:val="both"/>
      </w:pPr>
      <w:r>
        <w:rPr>
          <w:rFonts w:ascii="Arial" w:cs="Arial" w:eastAsia="Arial" w:hAnsi="Arial"/>
          <w:color w:val="1A1A1A"/>
          <w:sz w:val="22"/>
          <w:szCs w:val="22"/>
        </w:rPr>
        <w:t xml:space="preserve">Roteiro estruturado cena a cena. Tom: didático, concreto, com exemplos do cotidiano. O objetivo é que o colaborador identifique os riscos do seu próprio ambiente de trabalho e entenda como participar do GRO. Apresentador sugerido: profissional de RH ou técnico de segurança do trabalho.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Duração total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 minutos (300 segundos)</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Formato recomendado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Talking head + motion graphics com ícones de categorias de risco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Trilha sonora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Instrumental corporativo moderado, dinâmico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Apresentador sugerido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Técnico de Segurança do Trabalho ou profissional de RH</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TEMPO</w:t>
            </w:r>
          </w:p>
        </w:tc>
        <w:tc>
          <w:tcPr>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NARRAÇÃO / LOCUÇÃO</w:t>
            </w:r>
          </w:p>
        </w:tc>
        <w:tc>
          <w:tcPr>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ORIENTAÇÃO VISUAL / SLIDE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0:00–0:20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Todo trabalho tem riscos. Uma fábrica tem riscos de acidente com máquinas. Um escritório tem riscos de postura errada e estresse. Uma clínica tem riscos de contato com vírus e bactérias. O GRO é o processo que a empresa usa para identificar, avaliar e controlar esses riscos. Vamos entender como funciona.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Logo Vegl.ia + Trilha NR-1. Três ícones aparecendo: fábrica, escritório, clínica — cada um com seu risco típico animado.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0:20–1:00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 primeiro passo é conhecer as cinco categorias de risco que a NR-1 reconhece. Riscos físicos — ruído, calor, vibrações. Químicos — poeiras, gases, solventes. Biológicos — vírus, bactérias, fungos. Ergonômicos — postura inadequada, esforço repetitivo, jornada excessiva. E os riscos psicossociais — sobrecarga, pressão de metas, assédio, insegurança no trabalho.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Cinco cards animados, um por categoria. Cada card com ícone representativo e dois exemplos. Psicossocial destacado com borda mint — 'novidade NR-1 2025'.</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1:00–1:45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Vamos diferenciar dois conceitos importantes: perigo e risco. Perigo é a fonte do problema — uma máquina sem proteção, um produto tóxico, um gestor abusivo. Risco é a probabilidade de esse perigo te causar dano — levando em conta a frequência de exposição e a gravidade do que pode acontecer. O GRO identifica perigos e avalia riscos para saber o que precisa ser controlado com mais urgência.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Animação simples: dois blocos lado a lado. 'PERIGO: a fonte' com ícone de máquina. 'RISCO: a probabilidade de dano' com ícone de pessoa exposta. Seta entre os dois.</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1:45–2:30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Quando um risco é identificado, a empresa precisa controlá-lo. E tem uma ordem de prioridade. Primeiro: eliminar o perigo — se der, tirar o risco do ambiente completamente. Depois: substituir por algo menos perigoso. Depois: proteger o ambiente com engenharia. Depois: reorganizar o trabalho. E por último — só como último recurso — o EPI.</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Pirâmide invertida animada com a hierarquia de controles. Eliminação no topo (verde, máxima eficácia), EPI na base (menor eficácia). Cada nível aparece em sequência.</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2:30–3:10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Por que o EPI é o último recurso? Porque ele não elimina o risco — só cria uma barreira entre você e o perigo. Se o EPI estiver danificado, mal ajustado ou se você esquecer de usar, o risco continua. Medidas de eliminação e engenharia funcionam mesmo que você esqueça de fazer alguma coisa.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Comparação animada: EPI — 'o risco ainda existe'; eliminação/engenharia — 'o risco não existe mais'. Ícone de capacete com X sobre o risco versus ícone de proteção coletiva com check.</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3:10–3:50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Todo esse processo é registrado no PGR — o Programa de Gerenciamento de Riscos. Você tem o direito de acessar esse documento. Nele estão todos os riscos identificados no seu trabalho, as medidas de controle adotadas e os prazos para implementação das que ainda estão pendentes. Se a empresa não tiver o PGR, isso é uma infração grave.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Mockup de PGR com seções animadas: lista de riscos, medidas de controle, prazos. Destaque: 'Você tem direito de acessar'.</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3:50–4:40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Você também faz parte do GRO. Quando você identifica uma situação perigosa e comunica ao gestor ou à CIPA, está alimentando o processo. Quando você reporta um quase-acidente — algo que poderia ter te machucado mas não machucou —, está prevenindo o próximo. O seu conhecimento sobre os riscos da sua função é insubstituível.</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Colaborador apontando para situação de risco → gestor anotando → PGR atualizado. Sequência animada simples mostrando o fluxo de informação.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4:40–5:00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narração]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Logo Vegl.ia + Trilha NR-1. Texto: 'Módulo 2 concluído · Quiz disponível agora.' Fade out.</w:t>
            </w:r>
          </w:p>
        </w:tc>
      </w:tr>
    </w:tbl>
    <w:p>
      <w:pPr>
        <w:spacing w:after="0" w:before="200"/>
      </w:pPr>
      <w:r>
        <w:t xml:space="preserve"/>
      </w:r>
    </w:p>
    <w:p>
      <w:r>
        <w:br w:type="page"/>
      </w:r>
    </w:p>
    <w:p>
      <w:pPr>
        <w:spacing w:after="40" w:before="240"/>
      </w:pPr>
      <w:r>
        <w:rPr>
          <w:rFonts w:ascii="Arial" w:cs="Arial" w:eastAsia="Arial" w:hAnsi="Arial"/>
          <w:b/>
          <w:bCs/>
          <w:color w:val="C9A96E"/>
          <w:sz w:val="16"/>
          <w:szCs w:val="16"/>
        </w:rPr>
        <w:t xml:space="preserve">ROTEIRO DE VÍDEO-AULA</w:t>
      </w:r>
    </w:p>
    <w:p>
      <w:pPr>
        <w:pStyle w:val="Heading2"/>
        <w:pBdr>
          <w:bottom w:val="single" w:color="2DA67D" w:sz="4" w:space="4"/>
        </w:pBdr>
        <w:spacing w:after="120" w:before="280"/>
      </w:pPr>
      <w:r>
        <w:rPr>
          <w:rFonts w:ascii="Arial" w:cs="Arial" w:eastAsia="Arial" w:hAnsi="Arial"/>
          <w:b/>
          <w:bCs/>
          <w:color w:val="1A3A5C"/>
          <w:sz w:val="26"/>
          <w:szCs w:val="26"/>
        </w:rPr>
        <w:t xml:space="preserve">Percurso Gestor de RH — 7 minutos</w:t>
      </w:r>
    </w:p>
    <w:p>
      <w:pPr>
        <w:spacing w:after="120" w:before="60" w:line="276"/>
        <w:jc w:val="both"/>
      </w:pPr>
      <w:r>
        <w:rPr>
          <w:rFonts w:ascii="Arial" w:cs="Arial" w:eastAsia="Arial" w:hAnsi="Arial"/>
          <w:color w:val="1A1A1A"/>
          <w:sz w:val="22"/>
          <w:szCs w:val="22"/>
        </w:rPr>
        <w:t xml:space="preserve">Roteiro técnico com foco no ciclo completo do GRO, estrutura do PGR, integração com PCMSO e metodologia de inventário de riscos. Tom: técnico, preciso, orientado a implementação. Apresentador sugerido: engenheiro de segurança ou técnico de segurança do trabalho.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Duração total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 minutos (420 segundos)</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Formato recomendado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Talking head + slides técnicos com tabelas, fluxogramas e exemplos de PGR</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Trilha sonora</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Instrumental corporativo, sóbrio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color w:val="0B2545"/>
                <w:sz w:val="20"/>
                <w:szCs w:val="20"/>
              </w:rPr>
              <w:t xml:space="preserve">Apresentador sugerido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Engenheiro de Segurança do Trabalho ou Técnico de SST</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TEMPO</w:t>
            </w:r>
          </w:p>
        </w:tc>
        <w:tc>
          <w:tcPr>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NARRAÇÃO / LOCUÇÃO</w:t>
            </w:r>
          </w:p>
        </w:tc>
        <w:tc>
          <w:tcPr>
            <w:tcBorders>
              <w:top w:val="single" w:color="999999" w:sz="1"/>
              <w:left w:val="single" w:color="999999" w:sz="1"/>
              <w:bottom w:val="single" w:color="999999" w:sz="1"/>
              <w:right w:val="single" w:color="999999"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ORIENTAÇÃO VISUAL / SLIDE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0:00–0:25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 GRO é o coração operacional da NR-1. Sem um GRO estruturado, o PGR é apenas um documento — e documentos sem processo por trás não protegem trabalhadores nem a empresa. Neste módulo vou detalhar o ciclo completo do GRO, o que o PGR deve conter e como integrá-lo ao PCMSO.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Logo Vegl.ia + Trilha NR-1. Diagrama de ciclo: Identificar → Avaliar → Controlar → Monitorar. Apresentador ao lado.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0:25–1:10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etapa de identificação de perigos deve ser feita por área, função e processo — não de forma genérica para toda a empresa. As fontes de informação incluem inspeções no local de trabalho, entrevistas com trabalhadores, histórico de acidentes e incidentes, FISPQs dos produtos químicos, laudos e medições anteriores e benchmarks setoriais. Para riscos psicossociais, entrevistas e questionários validados são as principais ferramentas — pois esses riscos dependem do relato de quem executa a atividade.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Slide com lista de fontes de informação. Ícone diferente para cada fonte. Destaque especial em 'entrevistas e questionários' com tag 'riscos psicossociais'.</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1:10–1:55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avaliação de riscos quantifica o que foi identificado. A NR-1 não impõe metodologia específica — mas exige que a escolhida seja documentada e justificada. As mais utilizadas: Matriz de Risco para avaliação geral; APR para atividades não rotineiras; FMEA para processos industriais complexos; e COPSOQ II para riscos psicossociais. O resultado da avaliação é o nível de risco — que determina a prioridade das medidas de controle.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Slide com quatro metodologias em quadrantes. Cada uma com nome, sigla e setor/aplicação típica. Destaque para COPSOQ II como ferramenta de riscos psicossociais.</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1:55–2:45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 controle de riscos segue obrigatoriamente a hierarquia: eliminação, substituição, engenharia, administrativo, EPI. Para cada medida adotada, o PGR deve registrar: a medida específica com detalhamento técnico; o responsável por nome ou cargo; o prazo de implementação; e o nível de risco residual após a medida. Medidas com prazo futuro significam que o risco ainda não está controlado — o PGR deve refletir isso claramente.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Hierarquia de controles animada. Para cada nível: exemplo real de medida + campo de registro no PGR. Visual de formulário preenchido ao lado.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2:45–3:30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 monitoramento fecha o ciclo. O PGR deve ser revisado periodicamente — anual é o mínimo — e sempre que houver: acidente ou doença ocupacional, mudança significativa no processo, ou deterioração dos indicadores de SST. Registros de monitoramento são obrigatórios: medições periódicas, relatórios de inspeção, atas de CIPA, registros de quase-acidentes. Sem esses registros, o GRO não comprova continuidade.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Calendário animado com marcações de revisão. Ao lado: checklist de registros de monitoramento obrigatórios. Destaque: 'Sem registros = sem continuidade'.</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3:30–4:20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estrutura mínima do PGR tem quatro elementos obrigatórios. Inventário de riscos — todos os perigos por área, função e agente, com avaliação de nível de risco. Plano de ação — para cada risco não aceitável, medida, responsável, prazo e indicador de eficácia. Registros de monitoramento — evidência de continuidade. E integração com o PCMSO — demonstrando que os exames médicos foram definidos com base nos riscos mapeados.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Slide com quatro blocos do PGR. Cada bloco com título, ícone e conteúdo mínimo. Destaque em 'Integração PCMSO' com tag 'cobrado na fiscalização'.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4:20–5:05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integração GRO-PCMSO é um dos pontos mais cobrados nas fiscalizações. O fluxo correto: o PGR mapeia os riscos por cargo; o médico coordenador usa o inventário para definir os exames periódicos específicos; os resultados dos exames retroalimentam o GRO. Inconsistências — como PCMSO com exames genéricos sem relação com os riscos do cargo — indicam que a integração não ocorreu de fato.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Diagrama de fluxo: PGR (inventário de riscos) → médico coordenador → PCMSO (exames específicos por cargo) → resultados → retroalimentação do GRO. Seta de retorno destacada em mint.</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5:05–5:50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 o inventário de riscos psicossociais, as ferramentas recomendadas são COPSOQ II para empresas com maior estrutura de SST, MBI para avaliação específica de burnout, e o Questionário da OIT-OMS para PMEs. A aplicação deve ser anônima, por área — não por indivíduo —, com análise por profissional habilitado. Os resultados alimentam o inventário e definem as medidas organizacionais de controle.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Slide com as três ferramentas em tabela: nome, finalidade, porte de empresa recomendado. Nota de rodapé: 'aplicação anônima, análise por profissional habilitado'.</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5:50–6:35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Dois erros críticos que as empresas cometem no PGR: primeiro, elaborar o documento sem processo real por trás — o PGR vira arquivo morto. Segundo, não atualizar quando há mudanças — o PGR desatualizado é tão problemático quanto a ausência do documento. Auditores fiscais verificam a data de atualização e a consistência com a realidade do ambiente.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Slide com os dois erros em destaque: 'PGR sem processo' e 'PGR desatualizado'. Cada um com consequência e solução correspondente.</w:t>
            </w:r>
          </w:p>
        </w:tc>
      </w:tr>
    </w:tbl>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Borders>
              <w:top w:val="single" w:color="CCCCCC" w:sz="1"/>
              <w:left w:val="single" w:color="CCCCCC" w:sz="1"/>
              <w:bottom w:val="single" w:color="CCCCCC" w:sz="1"/>
              <w:right w:val="single" w:color="CCCCCC" w:sz="1"/>
            </w:tcBorders>
            <w:shd w:fill="0B2545" w:val="clear"/>
            <w:tcMar>
              <w:top w:type="dxa" w:w="80"/>
              <w:left w:type="dxa" w:w="120"/>
              <w:bottom w:type="dxa" w:w="80"/>
              <w:right w:type="dxa" w:w="120"/>
            </w:tcMar>
            <w:vAlign w:val="center"/>
          </w:tcPr>
          <w:p>
            <w:pPr>
              <w:jc w:val="center"/>
            </w:pPr>
            <w:r>
              <w:rPr>
                <w:rFonts w:ascii="Arial" w:cs="Arial" w:eastAsia="Arial" w:hAnsi="Arial"/>
                <w:b/>
                <w:bCs/>
                <w:color w:val="C9A96E"/>
                <w:sz w:val="18"/>
                <w:szCs w:val="18"/>
              </w:rPr>
              <w:t xml:space="preserve">6:35–7:00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 narração]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i/>
                <w:iCs/>
                <w:color w:val="1A3A5C"/>
                <w:sz w:val="20"/>
                <w:szCs w:val="20"/>
              </w:rPr>
              <w:t xml:space="preserve">Logo Vegl.ia + Trilha NR-1. Texto: 'Módulo 2 concluído · Quiz disponível agora.' Fade out.</w:t>
            </w:r>
          </w:p>
        </w:tc>
      </w:tr>
    </w:tbl>
    <w:p>
      <w:pPr>
        <w:spacing w:after="0" w:before="200"/>
      </w:pPr>
      <w:r>
        <w:t xml:space="preserve"/>
      </w:r>
    </w:p>
    <w:sectPr>
      <w:footerReference w:type="default" r:id="rId7"/>
      <w:pgSz w:w="11906" w:h="16838"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A67D" w:sz="2" w:space="4"/>
      </w:pBdr>
      <w:spacing w:before="80"/>
      <w:jc w:val="center"/>
    </w:pPr>
    <w:r>
      <w:rPr>
        <w:rFonts w:ascii="Arial" w:cs="Arial" w:eastAsia="Arial" w:hAnsi="Arial"/>
        <w:color w:val="C9A96E"/>
        <w:sz w:val="16"/>
        <w:szCs w:val="16"/>
      </w:rPr>
      <w:t xml:space="preserve">Vegl.ia · Trilha NR-1 · Módulo 2 — Gerenciamento de Riscos Ocupacionais e o PGR  ·  v1.0 · 2026  ·  </w:t>
    </w:r>
    <w:r>
      <w:rPr>
        <w:rFonts w:ascii="Arial" w:cs="Arial" w:eastAsia="Arial" w:hAnsi="Arial"/>
        <w:color w:val="1A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A67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2026-05-08T22:58:01.909Z</dcterms:created>
  <dcterms:modified xsi:type="dcterms:W3CDTF">2026-05-08T22:58:01.924Z</dcterms:modified>
</cp:coreProperties>
</file>

<file path=docProps/custom.xml><?xml version="1.0" encoding="utf-8"?>
<Properties xmlns="http://schemas.openxmlformats.org/officeDocument/2006/custom-properties" xmlns:vt="http://schemas.openxmlformats.org/officeDocument/2006/docPropsVTypes"/>
</file>