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</w:t>
      </w:r>
      <w:r>
        <w:t xml:space="preserve"> </w:t>
      </w:r>
      <w:r>
        <w:t xml:space="preserve">Imunidade</w:t>
      </w:r>
      <w:r>
        <w:t xml:space="preserve"> </w:t>
      </w:r>
      <w:r>
        <w:t xml:space="preserve">Tributária</w:t>
      </w:r>
      <w:r>
        <w:t xml:space="preserve"> </w:t>
      </w:r>
      <w:r>
        <w:t xml:space="preserve">Recíproca</w:t>
      </w:r>
      <w:r>
        <w:t xml:space="preserve"> </w:t>
      </w:r>
      <w:r>
        <w:t xml:space="preserve">e</w:t>
      </w:r>
      <w:r>
        <w:t xml:space="preserve"> </w:t>
      </w:r>
      <w:r>
        <w:t xml:space="preserve">o</w:t>
      </w:r>
      <w:r>
        <w:t xml:space="preserve"> </w:t>
      </w:r>
      <w:r>
        <w:t xml:space="preserve">Transporte</w:t>
      </w:r>
      <w:r>
        <w:t xml:space="preserve"> </w:t>
      </w:r>
      <w:r>
        <w:t xml:space="preserve">de</w:t>
      </w:r>
      <w:r>
        <w:t xml:space="preserve"> </w:t>
      </w:r>
      <w:r>
        <w:t xml:space="preserve">Mercadorias</w:t>
      </w:r>
      <w:r>
        <w:t xml:space="preserve"> </w:t>
      </w:r>
      <w:r>
        <w:t xml:space="preserve">pela</w:t>
      </w:r>
      <w:r>
        <w:t xml:space="preserve"> </w:t>
      </w:r>
      <w:r>
        <w:t xml:space="preserve">ECT</w:t>
      </w:r>
    </w:p>
    <w:p>
      <w:pPr>
        <w:pStyle w:val="Subttulo"/>
      </w:pPr>
      <w:r>
        <w:t xml:space="preserve">:</w:t>
      </w:r>
      <w:r>
        <w:t xml:space="preserve"> </w:t>
      </w:r>
      <w:r>
        <w:t xml:space="preserve">Uma</w:t>
      </w:r>
      <w:r>
        <w:t xml:space="preserve"> </w:t>
      </w:r>
      <w:r>
        <w:t xml:space="preserve">Análise</w:t>
      </w:r>
      <w:r>
        <w:t xml:space="preserve"> </w:t>
      </w:r>
      <w:r>
        <w:t xml:space="preserve">Crítica</w:t>
      </w:r>
      <w:r>
        <w:t xml:space="preserve"> </w:t>
      </w:r>
      <w:r>
        <w:t xml:space="preserve">da</w:t>
      </w:r>
      <w:r>
        <w:t xml:space="preserve"> </w:t>
      </w:r>
      <w:r>
        <w:t xml:space="preserve">Decisão</w:t>
      </w:r>
      <w:r>
        <w:t xml:space="preserve"> </w:t>
      </w:r>
      <w:r>
        <w:t xml:space="preserve">do</w:t>
      </w:r>
      <w:r>
        <w:t xml:space="preserve"> </w:t>
      </w:r>
      <w:r>
        <w:t xml:space="preserve">STF</w:t>
      </w:r>
      <w:r>
        <w:t xml:space="preserve"> </w:t>
      </w:r>
      <w:r>
        <w:t xml:space="preserve">no</w:t>
      </w:r>
      <w:r>
        <w:t xml:space="preserve"> </w:t>
      </w:r>
      <w:r>
        <w:t xml:space="preserve">RE</w:t>
      </w:r>
      <w:r>
        <w:t xml:space="preserve"> </w:t>
      </w:r>
      <w:r>
        <w:t xml:space="preserve">627.051</w:t>
      </w:r>
    </w:p>
    <w:p>
      <w:pPr>
        <w:pStyle w:val="Author"/>
      </w:pPr>
      <w:r>
        <w:t xml:space="preserve">Alceu</w:t>
      </w:r>
      <w:r>
        <w:t xml:space="preserve"> </w:t>
      </w:r>
      <w:r>
        <w:t xml:space="preserve">Eilert</w:t>
      </w:r>
      <w:r>
        <w:t xml:space="preserve"> </w:t>
      </w:r>
      <w:r>
        <w:t xml:space="preserve">Nascimento</w:t>
      </w:r>
    </w:p>
    <w:p>
      <w:pPr>
        <w:pStyle w:val="Data"/>
      </w:pPr>
      <w:r>
        <w:t xml:space="preserve">2024-08-25</w:t>
      </w:r>
    </w:p>
    <w:bookmarkStart w:id="20" w:name="introdução"/>
    <w:p>
      <w:pPr>
        <w:pStyle w:val="Ttulo1"/>
      </w:pPr>
      <w:r>
        <w:t xml:space="preserve">1. Introdução</w:t>
      </w:r>
    </w:p>
    <w:p>
      <w:pPr>
        <w:pStyle w:val="FirstParagraph"/>
      </w:pPr>
      <w:r>
        <w:t xml:space="preserve">A decisão do Supremo Tribunal Federal (STF) no Recurso Extraordinário 627.051, que concedeu imunidade tributária recíproca à Empresa Brasileira de Correios e Telégrafos (ECT) nas atividades de transporte de mercadorias, suscita importantes questionamentos econômicos e jurídicos.</w:t>
      </w:r>
      <w:r>
        <w:t xml:space="preserve"> </w:t>
      </w:r>
      <w:r>
        <w:t xml:space="preserve">Embora o STF tenha fundamentado sua decisão na ideia de subsídio cruzado e na indissociabilidade das atividades da ECT em relação ao serviço postal essencial, argumenta-se que essa análise desconsiderou os impactos de um subsídio direto à empresa em suas atividades econômicas.</w:t>
      </w:r>
      <w:r>
        <w:t xml:space="preserve"> </w:t>
      </w:r>
      <w:r>
        <w:t xml:space="preserve">Este artigo busca demonstrar que a decisão, ao ignorar os princípios de neutralidade competitiva e livre concorrência, configura um erro de interpretação constitucional com consequências negativas para o mercado.</w:t>
      </w:r>
    </w:p>
    <w:bookmarkEnd w:id="20"/>
    <w:bookmarkStart w:id="24" w:name="desenvolvimento"/>
    <w:p>
      <w:pPr>
        <w:pStyle w:val="Ttulo1"/>
      </w:pPr>
      <w:r>
        <w:t xml:space="preserve">2. Desenvolvimento</w:t>
      </w:r>
    </w:p>
    <w:bookmarkStart w:id="21" w:name="descrição-do-caso"/>
    <w:p>
      <w:pPr>
        <w:pStyle w:val="Ttulo2"/>
      </w:pPr>
      <w:r>
        <w:t xml:space="preserve">2.1. Descrição do caso</w:t>
      </w:r>
    </w:p>
    <w:p>
      <w:pPr>
        <w:pStyle w:val="FirstParagraph"/>
      </w:pPr>
      <w:r>
        <w:t xml:space="preserve">O Recurso Extraordinário 627.051 tratou da incidência do ICMS sobre as atividades de transporte de mercadorias realizadas pela ECT.</w:t>
      </w:r>
      <w:r>
        <w:t xml:space="preserve"> </w:t>
      </w:r>
      <w:r>
        <w:t xml:space="preserve">A empresa alegou que tais atividades, mesmo não exclusivas, são indissociáveis do serviço postal público e, portanto, devem ser protegidas pela imunidade tributária recíproca prevista no art. 150, VI,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 da Constituição Federal.</w:t>
      </w:r>
      <w:r>
        <w:t xml:space="preserve"> </w:t>
      </w:r>
      <w:r>
        <w:t xml:space="preserve">O STF acolheu o argumento, fundamentando-se na função pública da ECT, no subsídio cruzado entre suas atividades superavitárias e deficitárias e na necessidade de garantir um serviço postal universal e acessível.</w:t>
      </w:r>
      <w:r>
        <w:t xml:space="preserve"> </w:t>
      </w:r>
      <w:r>
        <w:t xml:space="preserve">Essa decisão desonerou as atividades comerciais da ECT de uma carga tributária aplicada a seus concorrentes privados, criando um benefício fiscal exclusivo para a empresa pública.</w:t>
      </w:r>
    </w:p>
    <w:bookmarkEnd w:id="21"/>
    <w:bookmarkStart w:id="22" w:name="referência-teórica"/>
    <w:p>
      <w:pPr>
        <w:pStyle w:val="Ttulo2"/>
      </w:pPr>
      <w:r>
        <w:t xml:space="preserve">2.2. Referência teórica</w:t>
      </w:r>
    </w:p>
    <w:p>
      <w:pPr>
        <w:pStyle w:val="FirstParagraph"/>
      </w:pPr>
      <w:r>
        <w:t xml:space="preserve">A análise do caso requer um diálogo com duas abordagens fundamentais: a teoria econômica da neutralidade tributária e os princípios da livre concorrência.</w:t>
      </w:r>
    </w:p>
    <w:p>
      <w:pPr>
        <w:pStyle w:val="Corpodetexto"/>
      </w:pPr>
      <w:r>
        <w:t xml:space="preserve">Neutralidade tributária: Na teoria econômica, a tributação deve minimizar distorções de mercado, garantindo que todos os agentes operem sob condições iguais.</w:t>
      </w:r>
      <w:r>
        <w:t xml:space="preserve"> </w:t>
      </w:r>
      <w:r>
        <w:t xml:space="preserve">Subsídios diretos ou isenções tributárias injustificadas violam esse princípio ao favorecer artificialmente determinados agentes.</w:t>
      </w:r>
      <w:r>
        <w:t xml:space="preserve"> </w:t>
      </w:r>
      <w:r>
        <w:t xml:space="preserve">Livre concorrência: O ordenamento jurídico brasileiro, especialmente o art. 173, §1º, da Constituição Federal, determina que empresas públicas que atuem em atividades econômicas devem se submeter ao regime jurídico próprio das empresas privadas, incluindo obrigações tributárias.</w:t>
      </w:r>
      <w:r>
        <w:t xml:space="preserve"> </w:t>
      </w:r>
      <w:r>
        <w:t xml:space="preserve">A imunidade recíproca é destinada exclusivamente às atividades essenciais, não podendo ser estendida para proteger atividades comerciais.</w:t>
      </w:r>
      <w:r>
        <w:t xml:space="preserve"> </w:t>
      </w:r>
      <w:r>
        <w:t xml:space="preserve">Esses princípios exigem que qualquer benefício concedido a uma empresa pública seja rigorosamente justificado e alinhado ao interesse público, sem prejuízo à concorrência.</w:t>
      </w:r>
    </w:p>
    <w:bookmarkEnd w:id="22"/>
    <w:bookmarkStart w:id="23" w:name="análise-do-caso"/>
    <w:p>
      <w:pPr>
        <w:pStyle w:val="Ttulo2"/>
      </w:pPr>
      <w:r>
        <w:t xml:space="preserve">2.3. Análise do caso</w:t>
      </w:r>
    </w:p>
    <w:p>
      <w:pPr>
        <w:pStyle w:val="FirstParagraph"/>
      </w:pPr>
      <w:r>
        <w:t xml:space="preserve">Embora o STF tenha justificado a imunidade com base no subsídio cruzado, a decisão falha ao ignorar que a imunidade tributária aplicada às atividades econômicas da ECT não é um subsídio cruzado interno, mas sim um subsídio direto estatal, configurado pela isenção de ICMS.</w:t>
      </w:r>
      <w:r>
        <w:t xml:space="preserve"> </w:t>
      </w:r>
      <w:r>
        <w:t xml:space="preserve">Essa distinção é fundamental:</w:t>
      </w:r>
    </w:p>
    <w:p>
      <w:pPr>
        <w:pStyle w:val="Corpodetexto"/>
      </w:pPr>
      <w:r>
        <w:t xml:space="preserve">Caracterização do subsídio direto: O não pagamento de ICMS nas atividades de transporte de mercadorias confere à ECT uma vantagem econômica direta sobre seus concorrentes privados, que são obrigados a repassar o tributo aos preços dos serviços.</w:t>
      </w:r>
      <w:r>
        <w:t xml:space="preserve"> </w:t>
      </w:r>
      <w:r>
        <w:t xml:space="preserve">Isso distorce a competição no mercado, ferindo o princípio da livre concorrência.</w:t>
      </w:r>
      <w:r>
        <w:t xml:space="preserve"> </w:t>
      </w:r>
      <w:r>
        <w:t xml:space="preserve">Falha na justificação do benefício: Não há evidências de que o benefício fiscal aplicado às atividades econômicas da ECT seja indispensável para garantir a sustentabilidade do serviço postal deficitário.</w:t>
      </w:r>
      <w:r>
        <w:t xml:space="preserve"> </w:t>
      </w:r>
      <w:r>
        <w:t xml:space="preserve">O subsídio cruzado pode ser realizado de forma legítima sem a necessidade de isenções tributárias que prejudiquem o mercado.</w:t>
      </w:r>
      <w:r>
        <w:t xml:space="preserve"> </w:t>
      </w:r>
      <w:r>
        <w:t xml:space="preserve">Impacto na neutralidade competitiva: A decisão cria uma assimetria de mercado, onde empresas privadas que atuam no setor de transporte de mercadorias enfrentam custos tributários que a ECT evita, gerando um ambiente concorrencial desleal e reduzindo o incentivo à eficiência no setor público.</w:t>
      </w:r>
      <w:r>
        <w:t xml:space="preserve"> </w:t>
      </w:r>
      <w:r>
        <w:t xml:space="preserve">Interpretação constitucional equivocada: A imunidade recíproca prevista no art. 150, VI,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 da Constituição tem como objetivo proteger serviços públicos essenciais e não atividades econômicas concorrenciais.</w:t>
      </w:r>
      <w:r>
        <w:t xml:space="preserve"> </w:t>
      </w:r>
      <w:r>
        <w:t xml:space="preserve">A extensão dessa imunidade a serviços de transporte de mercadorias extrapola sua finalidade constitucional e cria uma interpretação expansiva inadequada.</w:t>
      </w:r>
    </w:p>
    <w:bookmarkEnd w:id="23"/>
    <w:bookmarkEnd w:id="24"/>
    <w:bookmarkStart w:id="25" w:name="conclusão"/>
    <w:p>
      <w:pPr>
        <w:pStyle w:val="Ttulo1"/>
      </w:pPr>
      <w:r>
        <w:t xml:space="preserve">3. Conclusão</w:t>
      </w:r>
    </w:p>
    <w:p>
      <w:pPr>
        <w:pStyle w:val="FirstParagraph"/>
      </w:pPr>
      <w:r>
        <w:t xml:space="preserve">A decisão do STF no RE 627.051, ao conceder imunidade tributária recíproca à ECT em suas atividades comerciais, negligenciou princípios econômicos fundamentais e a própria lógica constitucional da imunidade tributária.</w:t>
      </w:r>
      <w:r>
        <w:t xml:space="preserve"> </w:t>
      </w:r>
      <w:r>
        <w:t xml:space="preserve">O argumento do subsídio cruzado, embora legítimo no âmbito interno da ECT, foi utilizado de forma inadequada para justificar um subsídio direto, que impacta negativamente a livre concorrência e a neutralidade tributária.</w:t>
      </w:r>
      <w:r>
        <w:t xml:space="preserve"> </w:t>
      </w:r>
      <w:r>
        <w:t xml:space="preserve">Este artigo conclui que a decisão do STF errou em sua análise ao não diferenciar entre subsídio cruzado interno e subsídio direto estatal, gerando distorções no mercado e favorecendo injustamente a ECT em suas atividades econômicas.</w:t>
      </w:r>
      <w:r>
        <w:t xml:space="preserve"> </w:t>
      </w:r>
      <w:r>
        <w:t xml:space="preserve">Uma revisão desse entendimento é necessária para alinhar a interpretação constitucional às boas práticas de regulação econômica e concorrência justa.</w:t>
      </w:r>
    </w:p>
    <w:bookmarkEnd w:id="25"/>
    <w:bookmarkStart w:id="26" w:name="referências"/>
    <w:p>
      <w:pPr>
        <w:pStyle w:val="Ttulo1"/>
      </w:pPr>
      <w:r>
        <w:t xml:space="preserve">Referências</w:t>
      </w:r>
    </w:p>
    <w:bookmarkEnd w:id="26"/>
    <w:sectPr w:rsidR="001F5B5F">
      <w:pgSz w:h="16838" w:w="11906"/>
      <w:pgMar w:bottom="1134" w:footer="0" w:gutter="0" w:header="0" w:left="1134" w:right="1134" w:top="1134"/>
      <w:cols w:space="720"/>
      <w:formProt w:val="0"/>
      <w:docGrid w:linePitch="10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09"/>
  <w:autoHyphenation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Lohit Devanagari" w:eastAsia="Noto Serif CJK SC" w:hAnsi="Cambria"/>
        <w:kern w:val="2"/>
        <w:sz w:val="24"/>
        <w:szCs w:val="24"/>
        <w:lang w:bidi="hi-IN" w:eastAsia="zh-CN" w:val="pt-BR"/>
      </w:rPr>
    </w:rPrDefault>
    <w:pPrDefault>
      <w:pPr>
        <w:suppressAutoHyphens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pPr>
      <w:spacing w:after="567" w:before="567" w:line="360" w:lineRule="auto"/>
    </w:pPr>
    <w:rPr>
      <w:rFonts w:ascii="Times New Roman" w:hAnsi="Times New Roman"/>
    </w:rPr>
  </w:style>
  <w:style w:styleId="Ttulo1" w:type="paragraph">
    <w:name w:val="heading 1"/>
    <w:basedOn w:val="Normal"/>
    <w:next w:val="Corpodetexto"/>
    <w:uiPriority w:val="9"/>
    <w:qFormat/>
    <w:rsid w:val="00AF0735"/>
    <w:pPr>
      <w:keepNext/>
      <w:keepLines/>
      <w:spacing w:after="80" w:before="360"/>
      <w:outlineLvl w:val="0"/>
    </w:pPr>
    <w:rPr>
      <w:rFonts w:cstheme="majorBidi" w:eastAsiaTheme="majorEastAsia"/>
      <w:b/>
      <w:caps/>
      <w:szCs w:val="40"/>
    </w:rPr>
  </w:style>
  <w:style w:styleId="Ttulo2" w:type="paragraph">
    <w:name w:val="heading 2"/>
    <w:basedOn w:val="Normal"/>
    <w:next w:val="Corpodetexto"/>
    <w:uiPriority w:val="9"/>
    <w:unhideWhenUsed/>
    <w:qFormat/>
    <w:rsid w:val="00C70FA6"/>
    <w:pPr>
      <w:keepNext/>
      <w:keepLines/>
      <w:spacing w:after="283" w:before="283"/>
      <w:jc w:val="both"/>
      <w:outlineLvl w:val="1"/>
    </w:pPr>
    <w:rPr>
      <w:rFonts w:cstheme="majorBidi" w:eastAsiaTheme="majorEastAsia"/>
      <w:b/>
      <w:caps/>
      <w:szCs w:val="32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customStyle="1" w:styleId="BodyTextChar" w:type="character">
    <w:name w:val="Body Text Char"/>
    <w:basedOn w:val="Fontepargpadro"/>
    <w:qFormat/>
  </w:style>
  <w:style w:styleId="Hyperlink" w:type="character">
    <w:name w:val="Hyperlink"/>
    <w:basedOn w:val="BodyTextChar"/>
    <w:rPr>
      <w:color w:themeColor="accent1" w:val="156082"/>
    </w:rPr>
  </w:style>
  <w:style w:customStyle="1" w:styleId="FootnoteCharacters" w:type="character">
    <w:name w:val="Footnote Characters"/>
    <w:qFormat/>
  </w:style>
  <w:style w:customStyle="1" w:styleId="FootnoteAnchor" w:type="character">
    <w:name w:val="Footnote Anchor"/>
    <w:rPr>
      <w:vertAlign w:val="superscript"/>
    </w:rPr>
  </w:style>
  <w:style w:customStyle="1" w:styleId="EndnoteAnchor" w:type="character">
    <w:name w:val="Endnote Anchor"/>
    <w:rPr>
      <w:vertAlign w:val="superscript"/>
    </w:rPr>
  </w:style>
  <w:style w:customStyle="1" w:styleId="EndnoteCharacters" w:type="character">
    <w:name w:val="Endnote Characters"/>
    <w:qFormat/>
  </w:style>
  <w:style w:customStyle="1" w:styleId="IndexLink" w:type="character">
    <w:name w:val="Index Link"/>
    <w:qFormat/>
  </w:style>
  <w:style w:customStyle="1" w:styleId="Heading" w:type="paragraph">
    <w:name w:val="Heading"/>
    <w:basedOn w:val="Normal"/>
    <w:next w:val="Corpodetexto"/>
    <w:qFormat/>
    <w:pPr>
      <w:keepNext/>
      <w:spacing w:after="120" w:before="240"/>
    </w:pPr>
    <w:rPr>
      <w:rFonts w:ascii="Liberation Sans" w:eastAsia="Noto Sans CJK SC" w:hAnsi="Liberation Sans"/>
      <w:sz w:val="28"/>
      <w:szCs w:val="28"/>
    </w:rPr>
  </w:style>
  <w:style w:styleId="Corpodetexto" w:type="paragraph">
    <w:name w:val="Body Text"/>
    <w:basedOn w:val="Normal"/>
    <w:pPr>
      <w:spacing w:after="283" w:before="283"/>
      <w:ind w:firstLine="850"/>
      <w:jc w:val="both"/>
    </w:pPr>
  </w:style>
  <w:style w:styleId="Lista" w:type="paragraph">
    <w:name w:val="List"/>
    <w:basedOn w:val="Corpodetexto"/>
    <w:rPr>
      <w:rFonts w:ascii="Cambria" w:hAnsi="Cambria"/>
    </w:rPr>
  </w:style>
  <w:style w:styleId="Legenda" w:type="paragraph">
    <w:name w:val="caption"/>
    <w:basedOn w:val="Normal"/>
    <w:qFormat/>
    <w:pPr>
      <w:suppressLineNumbers/>
      <w:spacing w:after="120" w:before="120"/>
    </w:pPr>
    <w:rPr>
      <w:rFonts w:ascii="Cambria" w:hAnsi="Cambria"/>
      <w:i/>
      <w:iCs/>
    </w:rPr>
  </w:style>
  <w:style w:customStyle="1" w:styleId="Index" w:type="paragraph">
    <w:name w:val="Index"/>
    <w:basedOn w:val="Normal"/>
    <w:qFormat/>
    <w:pPr>
      <w:suppressLineNumbers/>
    </w:pPr>
    <w:rPr>
      <w:rFonts w:ascii="Cambria" w:hAnsi="Cambria"/>
    </w:rPr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uiPriority w:val="10"/>
    <w:qFormat/>
    <w:pPr>
      <w:spacing w:after="0" w:before="0" w:line="240" w:lineRule="auto"/>
      <w:contextualSpacing/>
      <w:jc w:val="center"/>
    </w:pPr>
    <w:rPr>
      <w:rFonts w:cstheme="majorBidi" w:eastAsiaTheme="majorEastAsia"/>
      <w:b/>
      <w:szCs w:val="56"/>
    </w:rPr>
  </w:style>
  <w:style w:styleId="Subttulo" w:type="paragraph">
    <w:name w:val="Subtitle"/>
    <w:basedOn w:val="Normal"/>
    <w:next w:val="Corpodetexto"/>
    <w:uiPriority w:val="11"/>
    <w:qFormat/>
    <w:pPr>
      <w:spacing w:after="0" w:before="0" w:line="240" w:lineRule="auto"/>
      <w:jc w:val="center"/>
    </w:pPr>
    <w:rPr>
      <w:rFonts w:cstheme="majorBidi" w:eastAsiaTheme="majorEastAsia"/>
      <w:color w:val="000000"/>
      <w:szCs w:val="28"/>
    </w:rPr>
  </w:style>
  <w:style w:customStyle="1" w:styleId="Author" w:type="paragraph">
    <w:name w:val="Author"/>
    <w:next w:val="Corpodetexto"/>
    <w:qFormat/>
    <w:rsid w:val="00AF0735"/>
    <w:pPr>
      <w:keepNext/>
      <w:keepLines/>
      <w:spacing w:before="283"/>
    </w:pPr>
    <w:rPr>
      <w:rFonts w:ascii="Times New Roman" w:hAnsi="Times New Roman"/>
    </w:rPr>
  </w:style>
  <w:style w:styleId="Data" w:type="paragraph">
    <w:name w:val="Date"/>
    <w:next w:val="Corpodetexto"/>
    <w:qFormat/>
    <w:pPr>
      <w:keepNext/>
      <w:keepLines/>
      <w:spacing w:after="283"/>
      <w:jc w:val="right"/>
    </w:pPr>
    <w:rPr>
      <w:rFonts w:ascii="Times New Roman" w:hAnsi="Times New Roman"/>
    </w:rPr>
  </w:style>
  <w:style w:customStyle="1" w:styleId="FirstParagraph" w:type="paragraph">
    <w:name w:val="First Paragraph"/>
    <w:basedOn w:val="Corpodetexto"/>
    <w:next w:val="Corpodetexto"/>
    <w:qFormat/>
  </w:style>
  <w:style w:styleId="Textodenotaderodap" w:type="paragraph">
    <w:name w:val="footnote text"/>
    <w:basedOn w:val="Normal"/>
    <w:pPr>
      <w:suppressLineNumbers/>
      <w:spacing w:after="0" w:before="0" w:line="240" w:lineRule="auto"/>
      <w:jc w:val="both"/>
    </w:pPr>
    <w:rPr>
      <w:sz w:val="20"/>
      <w:szCs w:val="20"/>
    </w:rPr>
  </w:style>
  <w:style w:styleId="Textoembloco" w:type="paragraph">
    <w:name w:val="Block Text"/>
    <w:basedOn w:val="Corpodetexto"/>
    <w:next w:val="Corpodetexto"/>
    <w:qFormat/>
    <w:pPr>
      <w:spacing w:after="454" w:line="240" w:lineRule="auto"/>
      <w:ind w:firstLine="0" w:left="2268"/>
    </w:pPr>
    <w:rPr>
      <w:sz w:val="20"/>
    </w:rPr>
  </w:style>
  <w:style w:styleId="Ttulodendiceremissivo" w:type="paragraph">
    <w:name w:val="index heading"/>
    <w:basedOn w:val="Heading"/>
    <w:pPr>
      <w:suppressLineNumbers/>
    </w:pPr>
    <w:rPr>
      <w:b/>
      <w:bCs/>
      <w:sz w:val="32"/>
      <w:szCs w:val="32"/>
    </w:rPr>
  </w:style>
  <w:style w:styleId="CabealhodoSumrio" w:type="paragraph">
    <w:name w:val="TOC Heading"/>
    <w:basedOn w:val="Ttulodendiceremissivo"/>
    <w:pPr>
      <w:spacing w:after="0" w:before="0"/>
      <w:jc w:val="center"/>
    </w:pPr>
    <w:rPr>
      <w:rFonts w:ascii="Times New Roman" w:hAnsi="Times New Roman"/>
      <w:b w:val="0"/>
      <w:sz w:val="20"/>
    </w:rPr>
  </w:style>
  <w:style w:styleId="Sumrio1" w:type="paragraph">
    <w:name w:val="toc 1"/>
    <w:basedOn w:val="Index"/>
    <w:pPr>
      <w:tabs>
        <w:tab w:leader="dot" w:pos="9638" w:val="right"/>
      </w:tabs>
      <w:spacing w:after="0" w:before="0" w:line="240" w:lineRule="auto"/>
    </w:pPr>
    <w:rPr>
      <w:rFonts w:ascii="Times New Roman" w:hAnsi="Times New Roman"/>
      <w:sz w:val="20"/>
    </w:rPr>
  </w:style>
  <w:style w:styleId="Sumrio2" w:type="paragraph">
    <w:name w:val="toc 2"/>
    <w:basedOn w:val="Index"/>
    <w:pPr>
      <w:tabs>
        <w:tab w:leader="dot" w:pos="9355" w:val="right"/>
      </w:tabs>
      <w:spacing w:after="0" w:before="0" w:line="240" w:lineRule="auto"/>
    </w:pPr>
    <w:rPr>
      <w:rFonts w:ascii="Times New Roman" w:hAnsi="Times New Roman"/>
      <w:sz w:val="2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164</Words>
  <Characters>889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Imunidade Tributária Recíproca e o Transporte de Mercadorias pela ECT</dc:title>
  <dc:creator>Alceu Eilert Nascimento</dc:creator>
  <cp:keywords/>
  <dcterms:created xsi:type="dcterms:W3CDTF">2024-11-24T18:41:14Z</dcterms:created>
  <dcterms:modified xsi:type="dcterms:W3CDTF">2024-11-24T18:41:14Z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bibliografia.bib</vt:lpwstr>
  </property>
  <property fmtid="{D5CDD505-2E9C-101B-9397-08002B2CF9AE}" pid="5" name="by-author">
    <vt:lpwstr/>
  </property>
  <property fmtid="{D5CDD505-2E9C-101B-9397-08002B2CF9AE}" pid="6" name="csl">
    <vt:lpwstr>ipea.csl</vt:lpwstr>
  </property>
  <property fmtid="{D5CDD505-2E9C-101B-9397-08002B2CF9AE}" pid="7" name="date">
    <vt:lpwstr>2024-08-25</vt:lpwstr>
  </property>
  <property fmtid="{D5CDD505-2E9C-101B-9397-08002B2CF9AE}" pid="8" name="editor">
    <vt:lpwstr/>
  </property>
  <property fmtid="{D5CDD505-2E9C-101B-9397-08002B2CF9AE}" pid="9" name="endnote">
    <vt:lpwstr>no</vt:lpwstr>
  </property>
  <property fmtid="{D5CDD505-2E9C-101B-9397-08002B2CF9AE}" pid="10" name="geometry">
    <vt:lpwstr>left=3cm, right=2cm, top=3cm, bottom=2cm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keep_tex">
    <vt:lpwstr>True</vt:lpwstr>
  </property>
  <property fmtid="{D5CDD505-2E9C-101B-9397-08002B2CF9AE}" pid="15" name="labels">
    <vt:lpwstr/>
  </property>
  <property fmtid="{D5CDD505-2E9C-101B-9397-08002B2CF9AE}" pid="16" name="link-citations">
    <vt:lpwstr>True</vt:lpwstr>
  </property>
  <property fmtid="{D5CDD505-2E9C-101B-9397-08002B2CF9AE}" pid="17" name="subtitle">
    <vt:lpwstr>: Uma Análise Crítica da Decisão do STF no RE 627.051</vt:lpwstr>
  </property>
  <property fmtid="{D5CDD505-2E9C-101B-9397-08002B2CF9AE}" pid="18" name="toc-title">
    <vt:lpwstr>Table of contents</vt:lpwstr>
  </property>
</Properties>
</file>