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Artigo</w:t>
      </w:r>
      <w:r>
        <w:t xml:space="preserve"> </w:t>
      </w:r>
      <w:r>
        <w:t xml:space="preserve">direito</w:t>
      </w:r>
      <w:r>
        <w:t xml:space="preserve"> </w:t>
      </w:r>
      <w:r>
        <w:t xml:space="preserve">e</w:t>
      </w:r>
      <w:r>
        <w:t xml:space="preserve"> </w:t>
      </w:r>
      <w:r>
        <w:t xml:space="preserve">economia</w:t>
      </w:r>
    </w:p>
    <w:p>
      <w:pPr>
        <w:pStyle w:val="Subttulo"/>
      </w:pPr>
      <w:r>
        <w:t xml:space="preserve">Uma</w:t>
      </w:r>
      <w:r>
        <w:t xml:space="preserve"> </w:t>
      </w:r>
      <w:r>
        <w:t xml:space="preserve">Análise</w:t>
      </w:r>
      <w:r>
        <w:t xml:space="preserve"> </w:t>
      </w:r>
      <w:r>
        <w:t xml:space="preserve">sob</w:t>
      </w:r>
      <w:r>
        <w:t xml:space="preserve"> </w:t>
      </w:r>
      <w:r>
        <w:t xml:space="preserve">a</w:t>
      </w:r>
      <w:r>
        <w:t xml:space="preserve"> </w:t>
      </w:r>
      <w:r>
        <w:t xml:space="preserve">Ótica</w:t>
      </w:r>
      <w:r>
        <w:t xml:space="preserve"> </w:t>
      </w:r>
      <w:r>
        <w:t xml:space="preserve">da</w:t>
      </w:r>
      <w:r>
        <w:t xml:space="preserve"> </w:t>
      </w:r>
      <w:r>
        <w:t xml:space="preserve">Regulação</w:t>
      </w:r>
      <w:r>
        <w:t xml:space="preserve"> </w:t>
      </w:r>
      <w:r>
        <w:t xml:space="preserve">e</w:t>
      </w:r>
      <w:r>
        <w:t xml:space="preserve"> </w:t>
      </w:r>
      <w:r>
        <w:t xml:space="preserve">dos</w:t>
      </w:r>
      <w:r>
        <w:t xml:space="preserve"> </w:t>
      </w:r>
      <w:r>
        <w:t xml:space="preserve">Incentivos</w:t>
      </w:r>
      <w:r>
        <w:t xml:space="preserve"> </w:t>
      </w:r>
      <w:r>
        <w:t xml:space="preserve">Econômicos</w:t>
      </w:r>
    </w:p>
    <w:p>
      <w:pPr>
        <w:pStyle w:val="Author"/>
      </w:pPr>
      <w:r>
        <w:t xml:space="preserve">Alceu</w:t>
      </w:r>
      <w:r>
        <w:t xml:space="preserve"> </w:t>
      </w:r>
      <w:r>
        <w:t xml:space="preserve">Eilert</w:t>
      </w:r>
      <w:r>
        <w:t xml:space="preserve"> </w:t>
      </w:r>
      <w:r>
        <w:t xml:space="preserve">Nascimento</w:t>
      </w:r>
    </w:p>
    <w:p>
      <w:pPr>
        <w:pStyle w:val="Data"/>
      </w:pPr>
      <w:r>
        <w:t xml:space="preserve">2024-08-25</w:t>
      </w:r>
    </w:p>
    <w:bookmarkStart w:id="20" w:name="introdução"/>
    <w:p>
      <w:pPr>
        <w:pStyle w:val="Ttulo1"/>
      </w:pPr>
      <w:r>
        <w:t xml:space="preserve">1 Introdução</w:t>
      </w:r>
    </w:p>
    <w:p>
      <w:pPr>
        <w:pStyle w:val="FirstParagraph"/>
      </w:pPr>
      <w:r>
        <w:t xml:space="preserve">Contextualização do problema Relevância do tema Objetivos e hipóteses</w:t>
      </w:r>
      <w:r>
        <w:t xml:space="preserve"> </w:t>
      </w:r>
      <w:r>
        <w:t xml:space="preserve">Justificativa</w:t>
      </w:r>
    </w:p>
    <w:bookmarkEnd w:id="20"/>
    <w:bookmarkStart w:id="21" w:name="fundamentação-teórica"/>
    <w:p>
      <w:pPr>
        <w:pStyle w:val="Ttulo1"/>
      </w:pPr>
      <w:r>
        <w:t xml:space="preserve">2 FUNDAMENTAÇÃO TEÓRICA</w:t>
      </w:r>
    </w:p>
    <w:p>
      <w:pPr>
        <w:pStyle w:val="FirstParagraph"/>
      </w:pPr>
      <w:r>
        <w:t xml:space="preserve">2.1 Regulação Econômica e Complexidade 2.2 Subsídios Cruzados: Conceitos</w:t>
      </w:r>
      <w:r>
        <w:t xml:space="preserve"> </w:t>
      </w:r>
      <w:r>
        <w:t xml:space="preserve">e Implicações Econômicas 2.3 O Papel da Análise Econômica no Direito</w:t>
      </w:r>
      <w:r>
        <w:t xml:space="preserve"> </w:t>
      </w:r>
      <w:r>
        <w:t xml:space="preserve">Regulatório 2.4 Vieses Cognitivos na Tomada de Decisão Regulatória</w:t>
      </w:r>
    </w:p>
    <w:bookmarkEnd w:id="21"/>
    <w:bookmarkStart w:id="25" w:name="análise-de-casos"/>
    <w:p>
      <w:pPr>
        <w:pStyle w:val="Ttulo1"/>
      </w:pPr>
      <w:r>
        <w:t xml:space="preserve">3 ANÁLISE DE CASOS</w:t>
      </w:r>
    </w:p>
    <w:bookmarkStart w:id="23" w:name="o-caso-deutsche-post-comp35.141"/>
    <w:p>
      <w:pPr>
        <w:pStyle w:val="Ttulo2"/>
      </w:pPr>
      <w:r>
        <w:t xml:space="preserve">3.1 O Caso Deutsche Post (COMP/35.141)</w:t>
      </w:r>
    </w:p>
    <w:p>
      <w:pPr>
        <w:pStyle w:val="FirstParagraph"/>
      </w:pPr>
      <w:r>
        <w:t xml:space="preserve">Contextualização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Metodologia de análise econômica aplicada</w:t>
      </w:r>
      <w:r>
        <w:t xml:space="preserve"> </w:t>
      </w:r>
      <w:r>
        <w:t xml:space="preserve">Profundidade da análise de subsídios cruzados Resultados e fundamentação</w:t>
      </w:r>
    </w:p>
    <w:p>
      <w:pPr>
        <w:pStyle w:val="Corpodetexto"/>
      </w:pPr>
      <w:r>
        <w:t xml:space="preserve">O caso Deutsche Post AG (COMP/35.141) representa um marco significativo</w:t>
      </w:r>
      <w:r>
        <w:t xml:space="preserve"> </w:t>
      </w:r>
      <w:r>
        <w:t xml:space="preserve">na jurisprudência europeia relacionada à análise de subsídios cruzados e</w:t>
      </w:r>
      <w:r>
        <w:t xml:space="preserve"> </w:t>
      </w:r>
      <w:r>
        <w:t xml:space="preserve">práticas anticompetitivas no setor postal. O processo teve início com</w:t>
      </w:r>
      <w:r>
        <w:t xml:space="preserve"> </w:t>
      </w:r>
      <w:r>
        <w:t xml:space="preserve">uma denúncia da United Parcel Service (UPS) contra a Deutsche Post AG</w:t>
      </w:r>
      <w:r>
        <w:t xml:space="preserve"> </w:t>
      </w:r>
      <w:r>
        <w:t xml:space="preserve">(DPAG), alegando que a operadora postal alemã utilizava receitas</w:t>
      </w:r>
      <w:r>
        <w:t xml:space="preserve"> </w:t>
      </w:r>
      <w:r>
        <w:t xml:space="preserve">provenientes de seu monopólio no serviço de correspondências para</w:t>
      </w:r>
      <w:r>
        <w:t xml:space="preserve"> </w:t>
      </w:r>
      <w:r>
        <w:t xml:space="preserve">financiar vendas abaixo do custo no setor competitivo de encomendas</w:t>
      </w:r>
      <w:r>
        <w:t xml:space="preserve"> </w:t>
      </w:r>
      <w:r>
        <w:t xml:space="preserve">postais empresariais. Além disso, a DPAG foi acusada de implementar um</w:t>
      </w:r>
      <w:r>
        <w:t xml:space="preserve"> </w:t>
      </w:r>
      <w:r>
        <w:t xml:space="preserve">sistema de descontos de fidelização para clientes corporativos que</w:t>
      </w:r>
      <w:r>
        <w:t xml:space="preserve"> </w:t>
      </w:r>
      <w:r>
        <w:t xml:space="preserve">efetivamente impedia a entrada de novos concorrentes no mercado alemão</w:t>
      </w:r>
      <w:r>
        <w:t xml:space="preserve"> </w:t>
      </w:r>
      <w:r>
        <w:t xml:space="preserve">de encomendas.</w:t>
      </w:r>
    </w:p>
    <w:p>
      <w:pPr>
        <w:pStyle w:val="Corpodetexto"/>
      </w:pPr>
      <w:r>
        <w:t xml:space="preserve">A metodologia de análise econômica empregada pela Comissão Europeia</w:t>
      </w:r>
      <w:r>
        <w:t xml:space="preserve"> </w:t>
      </w:r>
      <w:r>
        <w:t xml:space="preserve">neste caso foi notadamente sofisticada e abrangente. O órgão desenvolveu</w:t>
      </w:r>
      <w:r>
        <w:t xml:space="preserve"> </w:t>
      </w:r>
      <w:r>
        <w:t xml:space="preserve">uma análise detalhada que distinguia entre custos suplementares</w:t>
      </w:r>
      <w:r>
        <w:t xml:space="preserve"> </w:t>
      </w:r>
      <w:r>
        <w:t xml:space="preserve">específicos (incremental costs) e custos fixos conjuntos, além de</w:t>
      </w:r>
      <w:r>
        <w:t xml:space="preserve"> </w:t>
      </w:r>
      <w:r>
        <w:t xml:space="preserve">examinar minuciosamente cada fase operacional do serviço postal,</w:t>
      </w:r>
      <w:r>
        <w:t xml:space="preserve"> </w:t>
      </w:r>
      <w:r>
        <w:t xml:space="preserve">incluindo recolha, tratamento, transporte e entrega. Esta abordagem</w:t>
      </w:r>
      <w:r>
        <w:t xml:space="preserve"> </w:t>
      </w:r>
      <w:r>
        <w:t xml:space="preserve">permitiu uma avaliação precisa da existência de subsídios cruzados e</w:t>
      </w:r>
      <w:r>
        <w:t xml:space="preserve"> </w:t>
      </w:r>
      <w:r>
        <w:t xml:space="preserve">práticas predatórias. A Comissão também realizou um teste de preços para</w:t>
      </w:r>
      <w:r>
        <w:t xml:space="preserve"> </w:t>
      </w:r>
      <w:r>
        <w:t xml:space="preserve">verificar se as receitas cobriam os custos suplementares específicos,</w:t>
      </w:r>
      <w:r>
        <w:t xml:space="preserve"> </w:t>
      </w:r>
      <w:r>
        <w:t xml:space="preserve">bem como uma análise da cobertura dos custos stand-alone do setor</w:t>
      </w:r>
      <w:r>
        <w:t xml:space="preserve"> </w:t>
      </w:r>
      <w:r>
        <w:t xml:space="preserve">reservado. A definição do mercado relevante e a avaliação da posição</w:t>
      </w:r>
      <w:r>
        <w:t xml:space="preserve"> </w:t>
      </w:r>
      <w:r>
        <w:t xml:space="preserve">dominante da DPAG, que detinha mais de 85% do mercado, foram elementos</w:t>
      </w:r>
      <w:r>
        <w:t xml:space="preserve"> </w:t>
      </w:r>
      <w:r>
        <w:t xml:space="preserve">cruciais desta análise.</w:t>
      </w:r>
    </w:p>
    <w:p>
      <w:pPr>
        <w:pStyle w:val="Corpodetexto"/>
      </w:pPr>
      <w:r>
        <w:t xml:space="preserve">A investigação dos subsídios cruzados constituiu um dos aspectos mais</w:t>
      </w:r>
      <w:r>
        <w:t xml:space="preserve"> </w:t>
      </w:r>
      <w:r>
        <w:t xml:space="preserve">inovadores da decisão. A Comissão identificou claramente o setor</w:t>
      </w:r>
      <w:r>
        <w:t xml:space="preserve"> </w:t>
      </w:r>
      <w:r>
        <w:t xml:space="preserve">reservado (cartas até 200g) como fonte do financiamento cruzado,</w:t>
      </w:r>
      <w:r>
        <w:t xml:space="preserve"> </w:t>
      </w:r>
      <w:r>
        <w:t xml:space="preserve">verificando a existência de lucros consistentes neste segmento. Foi</w:t>
      </w:r>
      <w:r>
        <w:t xml:space="preserve"> </w:t>
      </w:r>
      <w:r>
        <w:t xml:space="preserve">demonstrado como as receitas do setor monopolista eram utilizadas para</w:t>
      </w:r>
      <w:r>
        <w:t xml:space="preserve"> </w:t>
      </w:r>
      <w:r>
        <w:t xml:space="preserve">cobrir as perdas no setor competitivo, onde os preços praticados não</w:t>
      </w:r>
      <w:r>
        <w:t xml:space="preserve"> </w:t>
      </w:r>
      <w:r>
        <w:t xml:space="preserve">cobriam sequer os custos incrementais. Esta análise estabeleceu</w:t>
      </w:r>
      <w:r>
        <w:t xml:space="preserve"> </w:t>
      </w:r>
      <w:r>
        <w:t xml:space="preserve">importantes parâmetros para futuras investigações de práticas similares</w:t>
      </w:r>
      <w:r>
        <w:t xml:space="preserve"> </w:t>
      </w:r>
      <w:r>
        <w:t xml:space="preserve">em outros setores regulados que apresentam segmentos monopolistas e</w:t>
      </w:r>
      <w:r>
        <w:t xml:space="preserve"> </w:t>
      </w:r>
      <w:r>
        <w:t xml:space="preserve">competitivos.</w:t>
      </w:r>
    </w:p>
    <w:p>
      <w:pPr>
        <w:pStyle w:val="Corpodetexto"/>
      </w:pPr>
      <w:r>
        <w:t xml:space="preserve">Como resultado de sua investigação, a Comissão concluiu que a DPAG havia</w:t>
      </w:r>
      <w:r>
        <w:t xml:space="preserve"> </w:t>
      </w:r>
      <w:r>
        <w:t xml:space="preserve">infringido o Artigo 82 do Tratado CE em duas frentes principais: a</w:t>
      </w:r>
      <w:r>
        <w:t xml:space="preserve"> </w:t>
      </w:r>
      <w:r>
        <w:t xml:space="preserve">prática de descontos de fidelização, que se estendeu de 1974 a 2000, e a</w:t>
      </w:r>
      <w:r>
        <w:t xml:space="preserve"> </w:t>
      </w:r>
      <w:r>
        <w:t xml:space="preserve">prática de preços predatórios abaixo dos custos incrementais no período</w:t>
      </w:r>
      <w:r>
        <w:t xml:space="preserve"> </w:t>
      </w:r>
      <w:r>
        <w:t xml:space="preserve">de 1990 a 1995. As sanções impostas foram significativas e incluíram uma</w:t>
      </w:r>
      <w:r>
        <w:t xml:space="preserve"> </w:t>
      </w:r>
      <w:r>
        <w:t xml:space="preserve">multa de 24 milhões de euros, além da exigência de separação estrutural</w:t>
      </w:r>
      <w:r>
        <w:t xml:space="preserve"> </w:t>
      </w:r>
      <w:r>
        <w:t xml:space="preserve">do negócio de encomendas em uma nova empresa (Newco) e a imposição de</w:t>
      </w:r>
      <w:r>
        <w:t xml:space="preserve"> </w:t>
      </w:r>
      <w:r>
        <w:t xml:space="preserve">obrigações de transparência e reporting. Estas medidas foram</w:t>
      </w:r>
      <w:r>
        <w:t xml:space="preserve"> </w:t>
      </w:r>
      <w:r>
        <w:t xml:space="preserve">cuidadosamente desenhadas para prevenir futuras práticas</w:t>
      </w:r>
      <w:r>
        <w:t xml:space="preserve"> </w:t>
      </w:r>
      <w:r>
        <w:t xml:space="preserve">anticompetitivas enquanto reconheciam as peculiaridades de uma empresa</w:t>
      </w:r>
      <w:r>
        <w:t xml:space="preserve"> </w:t>
      </w:r>
      <w:r>
        <w:t xml:space="preserve">com obrigações de serviço universal.</w:t>
      </w:r>
    </w:p>
    <w:p>
      <w:pPr>
        <w:pStyle w:val="Corpodetexto"/>
      </w:pPr>
      <w:r>
        <w:t xml:space="preserve">O impacto desta decisão transcende o caso específico da Deutsche Post,</w:t>
      </w:r>
      <w:r>
        <w:t xml:space="preserve"> </w:t>
      </w:r>
      <w:r>
        <w:t xml:space="preserve">estabelecendo precedentes importantes para a análise de subsídios</w:t>
      </w:r>
      <w:r>
        <w:t xml:space="preserve"> </w:t>
      </w:r>
      <w:r>
        <w:t xml:space="preserve">cruzados e práticas predatórias em setores regulados. A metodologia</w:t>
      </w:r>
      <w:r>
        <w:t xml:space="preserve"> </w:t>
      </w:r>
      <w:r>
        <w:t xml:space="preserve">desenvolvida pela Comissão forneceu um framework robusto para avaliar</w:t>
      </w:r>
      <w:r>
        <w:t xml:space="preserve"> </w:t>
      </w:r>
      <w:r>
        <w:t xml:space="preserve">situações similares em outros mercados onde coexistem atividades</w:t>
      </w:r>
      <w:r>
        <w:t xml:space="preserve"> </w:t>
      </w:r>
      <w:r>
        <w:t xml:space="preserve">monopolistas e competitivas. Além disso, a decisão promoveu maior</w:t>
      </w:r>
      <w:r>
        <w:t xml:space="preserve"> </w:t>
      </w:r>
      <w:r>
        <w:t xml:space="preserve">transparência no setor postal e estabeleceu parâmetros claros para a</w:t>
      </w:r>
      <w:r>
        <w:t xml:space="preserve"> </w:t>
      </w:r>
      <w:r>
        <w:t xml:space="preserve">aplicação do direito da concorrência a empresas que operam sob</w:t>
      </w:r>
      <w:r>
        <w:t xml:space="preserve"> </w:t>
      </w:r>
      <w:r>
        <w:t xml:space="preserve">obrigações de serviço universal. O caso continua sendo referência para a</w:t>
      </w:r>
      <w:r>
        <w:t xml:space="preserve"> </w:t>
      </w:r>
      <w:r>
        <w:t xml:space="preserve">análise de práticas anticompetitivas em setores regulados e para a</w:t>
      </w:r>
      <w:r>
        <w:t xml:space="preserve"> </w:t>
      </w:r>
      <w:r>
        <w:t xml:space="preserve">implementação de remédios estruturais em casos de abuso de posição</w:t>
      </w:r>
      <w:r>
        <w:t xml:space="preserve"> </w:t>
      </w:r>
      <w:r>
        <w:t xml:space="preserve">dominante.</w:t>
      </w:r>
    </w:p>
    <w:bookmarkEnd w:id="23"/>
    <w:bookmarkStart w:id="24" w:name="o-caso-correios-re-627.051"/>
    <w:p>
      <w:pPr>
        <w:pStyle w:val="Ttulo2"/>
      </w:pPr>
      <w:r>
        <w:t xml:space="preserve">3.2 O Caso Correios (RE 627.051)</w:t>
      </w:r>
    </w:p>
    <w:p>
      <w:pPr>
        <w:pStyle w:val="FirstParagraph"/>
      </w:pPr>
      <w:r>
        <w:t xml:space="preserve">Contextualização Ausência de metodologia econômica robusta</w:t>
      </w:r>
      <w:r>
        <w:t xml:space="preserve"> </w:t>
      </w:r>
      <w:r>
        <w:t xml:space="preserve">Superficialidade na análise de subsídios cruzados Resultados e</w:t>
      </w:r>
      <w:r>
        <w:t xml:space="preserve"> </w:t>
      </w:r>
      <w:r>
        <w:t xml:space="preserve">fundamentação</w:t>
      </w:r>
    </w:p>
    <w:p>
      <w:pPr>
        <w:pStyle w:val="Corpodetexto"/>
      </w:pPr>
      <w:r>
        <w:t xml:space="preserve">O RE 627.051, conhecido como</w:t>
      </w:r>
      <w:r>
        <w:t xml:space="preserve"> </w:t>
      </w:r>
      <w:r>
        <w:t xml:space="preserve">“</w:t>
      </w:r>
      <w:r>
        <w:t xml:space="preserve">Caso Correios</w:t>
      </w:r>
      <w:r>
        <w:t xml:space="preserve">”</w:t>
      </w:r>
      <w:r>
        <w:t xml:space="preserve">, representa um importante</w:t>
      </w:r>
      <w:r>
        <w:t xml:space="preserve"> </w:t>
      </w:r>
      <w:r>
        <w:t xml:space="preserve">precedente na jurisprudência do Supremo Tribunal Federal acerca da</w:t>
      </w:r>
      <w:r>
        <w:t xml:space="preserve"> </w:t>
      </w:r>
      <w:r>
        <w:t xml:space="preserve">extensão da imunidade tributária recíproca às empresas estatais. O caso</w:t>
      </w:r>
      <w:r>
        <w:t xml:space="preserve"> </w:t>
      </w:r>
      <w:r>
        <w:t xml:space="preserve">específico versava sobre a aplicabilidade desta imunidade ao ICMS</w:t>
      </w:r>
      <w:r>
        <w:t xml:space="preserve"> </w:t>
      </w:r>
      <w:r>
        <w:t xml:space="preserve">incidente sobre o transporte de encomendas realizado pela Empresa</w:t>
      </w:r>
      <w:r>
        <w:t xml:space="preserve"> </w:t>
      </w:r>
      <w:r>
        <w:t xml:space="preserve">Brasileira de Correios e Telégrafos (ECT). A questão central consistia</w:t>
      </w:r>
      <w:r>
        <w:t xml:space="preserve"> </w:t>
      </w:r>
      <w:r>
        <w:t xml:space="preserve">em determinar se tal benefício constitucional deveria alcançar também as</w:t>
      </w:r>
      <w:r>
        <w:t xml:space="preserve"> </w:t>
      </w:r>
      <w:r>
        <w:t xml:space="preserve">atividades não monopolísticas da empresa, evidenciando a complexidade da</w:t>
      </w:r>
      <w:r>
        <w:t xml:space="preserve"> </w:t>
      </w:r>
      <w:r>
        <w:t xml:space="preserve">interface entre direito tributário e regulação econômica.</w:t>
      </w:r>
    </w:p>
    <w:p>
      <w:pPr>
        <w:pStyle w:val="Corpodetexto"/>
      </w:pPr>
      <w:r>
        <w:t xml:space="preserve">A análise da decisão revela importantes fragilidades metodológicas na</w:t>
      </w:r>
      <w:r>
        <w:t xml:space="preserve"> </w:t>
      </w:r>
      <w:r>
        <w:t xml:space="preserve">fundamentação econômica adotada pela Corte. O argumento central, baseado</w:t>
      </w:r>
      <w:r>
        <w:t xml:space="preserve"> </w:t>
      </w:r>
      <w:r>
        <w:t xml:space="preserve">na necessidade de subsídios cruzados para viabilizar a universalização</w:t>
      </w:r>
      <w:r>
        <w:t xml:space="preserve"> </w:t>
      </w:r>
      <w:r>
        <w:t xml:space="preserve">dos serviços postais, foi utilizado sem qualquer demonstração</w:t>
      </w:r>
      <w:r>
        <w:t xml:space="preserve"> </w:t>
      </w:r>
      <w:r>
        <w:t xml:space="preserve">quantitativa ou apresentação de estudos econômicos que comprovassem sua</w:t>
      </w:r>
      <w:r>
        <w:t xml:space="preserve"> </w:t>
      </w:r>
      <w:r>
        <w:t xml:space="preserve">necessidade ou dimensionassem seus impactos. Como bem observado pelo</w:t>
      </w:r>
      <w:r>
        <w:t xml:space="preserve"> </w:t>
      </w:r>
      <w:r>
        <w:t xml:space="preserve">Ministro Roberto Barroso em seu voto divergente, o subsídio cruzado</w:t>
      </w:r>
      <w:r>
        <w:t xml:space="preserve"> </w:t>
      </w:r>
      <w:r>
        <w:t xml:space="preserve">constitui um conceito econômico que demanda demonstração objetiva, não</w:t>
      </w:r>
      <w:r>
        <w:t xml:space="preserve"> </w:t>
      </w:r>
      <w:r>
        <w:t xml:space="preserve">podendo ser invocado como mero recurso retórico para justificar a</w:t>
      </w:r>
      <w:r>
        <w:t xml:space="preserve"> </w:t>
      </w:r>
      <w:r>
        <w:t xml:space="preserve">extensão da imunidade tributária.</w:t>
      </w:r>
    </w:p>
    <w:p>
      <w:pPr>
        <w:pStyle w:val="Corpodetexto"/>
      </w:pPr>
      <w:r>
        <w:t xml:space="preserve">Esta superficialidade na análise dos subsídios cruzados fica ainda mais</w:t>
      </w:r>
      <w:r>
        <w:t xml:space="preserve"> </w:t>
      </w:r>
      <w:r>
        <w:t xml:space="preserve">evidente quando se observa a ausência de dados concretos sobre custos e</w:t>
      </w:r>
      <w:r>
        <w:t xml:space="preserve"> </w:t>
      </w:r>
      <w:r>
        <w:t xml:space="preserve">receitas das diferentes atividades desenvolvidas pela ECT. O próprio</w:t>
      </w:r>
      <w:r>
        <w:t xml:space="preserve"> </w:t>
      </w:r>
      <w:r>
        <w:t xml:space="preserve">dado apresentado pela empresa, de que 51% de sua receita provém de</w:t>
      </w:r>
      <w:r>
        <w:t xml:space="preserve"> </w:t>
      </w:r>
      <w:r>
        <w:t xml:space="preserve">atividades monopolizadas, parece contradizer o argumento de que estas</w:t>
      </w:r>
      <w:r>
        <w:t xml:space="preserve"> </w:t>
      </w:r>
      <w:r>
        <w:t xml:space="preserve">atividades seriam deficitárias e necessitariam de subsídios oriundos das</w:t>
      </w:r>
      <w:r>
        <w:t xml:space="preserve"> </w:t>
      </w:r>
      <w:r>
        <w:t xml:space="preserve">atividades concorrenciais. Ademais, não houve uma análise aprofundada</w:t>
      </w:r>
      <w:r>
        <w:t xml:space="preserve"> </w:t>
      </w:r>
      <w:r>
        <w:t xml:space="preserve">dos impactos concorrenciais da decisão no mercado de transporte de</w:t>
      </w:r>
      <w:r>
        <w:t xml:space="preserve"> </w:t>
      </w:r>
      <w:r>
        <w:t xml:space="preserve">encomendas, nem consideração adequada do fato de que o ICMS, sendo um</w:t>
      </w:r>
      <w:r>
        <w:t xml:space="preserve"> </w:t>
      </w:r>
      <w:r>
        <w:t xml:space="preserve">tributo indireto, é normalmente repassado ao consumidor final.</w:t>
      </w:r>
    </w:p>
    <w:p>
      <w:pPr>
        <w:pStyle w:val="Corpodetexto"/>
      </w:pPr>
      <w:r>
        <w:t xml:space="preserve">A decisão majoritária do STF, ao reconhecer a imunidade tributária da</w:t>
      </w:r>
      <w:r>
        <w:t xml:space="preserve"> </w:t>
      </w:r>
      <w:r>
        <w:t xml:space="preserve">ECT quanto ao ICMS no transporte de encomendas, fundamentou-se</w:t>
      </w:r>
      <w:r>
        <w:t xml:space="preserve"> </w:t>
      </w:r>
      <w:r>
        <w:t xml:space="preserve">principalmente na alegada impossibilidade de separar as atividades</w:t>
      </w:r>
      <w:r>
        <w:t xml:space="preserve"> </w:t>
      </w:r>
      <w:r>
        <w:t xml:space="preserve">monopolísticas das concorrenciais e na necessidade de garantir a</w:t>
      </w:r>
      <w:r>
        <w:t xml:space="preserve"> </w:t>
      </w:r>
      <w:r>
        <w:t xml:space="preserve">universalização do serviço postal com modicidade tarifária. Contudo, a</w:t>
      </w:r>
      <w:r>
        <w:t xml:space="preserve"> </w:t>
      </w:r>
      <w:r>
        <w:t xml:space="preserve">fragilidade da fundamentação econômica e a ausência de base empírica</w:t>
      </w:r>
      <w:r>
        <w:t xml:space="preserve"> </w:t>
      </w:r>
      <w:r>
        <w:t xml:space="preserve">para as conclusões adotadas evidenciam uma preocupante tendência da</w:t>
      </w:r>
      <w:r>
        <w:t xml:space="preserve"> </w:t>
      </w:r>
      <w:r>
        <w:t xml:space="preserve">Corte em aceitar argumentos econômicos sem exigir a devida comprovação</w:t>
      </w:r>
      <w:r>
        <w:t xml:space="preserve"> </w:t>
      </w:r>
      <w:r>
        <w:t xml:space="preserve">técnica. Esta postura metodológica compromete a solidez da decisão e</w:t>
      </w:r>
      <w:r>
        <w:t xml:space="preserve"> </w:t>
      </w:r>
      <w:r>
        <w:t xml:space="preserve">pode gerar distorções concorrenciais significativas, cujas dimensões não</w:t>
      </w:r>
      <w:r>
        <w:t xml:space="preserve"> </w:t>
      </w:r>
      <w:r>
        <w:t xml:space="preserve">foram adequadamente mensuradas no processo decisório.</w:t>
      </w:r>
    </w:p>
    <w:p>
      <w:pPr>
        <w:pStyle w:val="Corpodetexto"/>
      </w:pPr>
      <w:r>
        <w:t xml:space="preserve">O caso ilustra, portanto, um importante desafio para a jurisdição</w:t>
      </w:r>
      <w:r>
        <w:t xml:space="preserve"> </w:t>
      </w:r>
      <w:r>
        <w:t xml:space="preserve">constitucional contemporânea: a necessidade de desenvolver metodologias</w:t>
      </w:r>
      <w:r>
        <w:t xml:space="preserve"> </w:t>
      </w:r>
      <w:r>
        <w:t xml:space="preserve">mais robustas para a análise de questões que envolvem complexas relações</w:t>
      </w:r>
      <w:r>
        <w:t xml:space="preserve"> </w:t>
      </w:r>
      <w:r>
        <w:t xml:space="preserve">entre direito e economia. A mera invocação de conceitos econômicos sem o</w:t>
      </w:r>
      <w:r>
        <w:t xml:space="preserve"> </w:t>
      </w:r>
      <w:r>
        <w:t xml:space="preserve">devido suporte empírico e técnico pode comprometer a qualidade das</w:t>
      </w:r>
      <w:r>
        <w:t xml:space="preserve"> </w:t>
      </w:r>
      <w:r>
        <w:t xml:space="preserve">decisões judiciais e gerar consequências não antecipadas para o</w:t>
      </w:r>
      <w:r>
        <w:t xml:space="preserve"> </w:t>
      </w:r>
      <w:r>
        <w:t xml:space="preserve">funcionamento dos mercados e para a própria efetividade das políticas</w:t>
      </w:r>
      <w:r>
        <w:t xml:space="preserve"> </w:t>
      </w:r>
      <w:r>
        <w:t xml:space="preserve">públicas que se pretende preservar.</w:t>
      </w:r>
    </w:p>
    <w:bookmarkEnd w:id="24"/>
    <w:bookmarkEnd w:id="25"/>
    <w:bookmarkStart w:id="26" w:name="análise-comparativa"/>
    <w:p>
      <w:pPr>
        <w:pStyle w:val="Ttulo1"/>
      </w:pPr>
      <w:r>
        <w:t xml:space="preserve">ANÁLISE COMPARATIVA</w:t>
      </w:r>
    </w:p>
    <w:p>
      <w:pPr>
        <w:pStyle w:val="FirstParagraph"/>
      </w:pPr>
      <w:r>
        <w:t xml:space="preserve">4.1 Rigor Metodológico 4.2 Profundidade Analítica 4.3 Fundamentação das</w:t>
      </w:r>
      <w:r>
        <w:t xml:space="preserve"> </w:t>
      </w:r>
      <w:r>
        <w:t xml:space="preserve">Decisões 4.4 Consequências Práticas</w:t>
      </w:r>
    </w:p>
    <w:bookmarkEnd w:id="26"/>
    <w:bookmarkStart w:id="31" w:name="análise-comparativa-1"/>
    <w:p>
      <w:pPr>
        <w:pStyle w:val="Ttulo1"/>
      </w:pPr>
      <w:r>
        <w:t xml:space="preserve">ANÁLISE COMPARATIVA</w:t>
      </w:r>
    </w:p>
    <w:bookmarkStart w:id="27" w:name="rigor-metodológico"/>
    <w:p>
      <w:pPr>
        <w:pStyle w:val="Ttulo2"/>
      </w:pPr>
      <w:r>
        <w:t xml:space="preserve">4.1 Rigor Metodológico</w:t>
      </w:r>
    </w:p>
    <w:p>
      <w:pPr>
        <w:pStyle w:val="FirstParagraph"/>
      </w:pPr>
      <w:r>
        <w:t xml:space="preserve">A análise do rigor metodológico empregado em ambos os casos revela</w:t>
      </w:r>
      <w:r>
        <w:t xml:space="preserve"> </w:t>
      </w:r>
      <w:r>
        <w:t xml:space="preserve">abordagens distintas, porém igualmente estruturadas. No caso do RE</w:t>
      </w:r>
      <w:r>
        <w:t xml:space="preserve"> </w:t>
      </w:r>
      <w:r>
        <w:t xml:space="preserve">627.051, o Supremo Tribunal Federal adota um método dedutivo rigoroso,</w:t>
      </w:r>
      <w:r>
        <w:t xml:space="preserve"> </w:t>
      </w:r>
      <w:r>
        <w:t xml:space="preserve">partindo da análise constitucional da imunidade recíproca e</w:t>
      </w:r>
      <w:r>
        <w:t xml:space="preserve"> </w:t>
      </w:r>
      <w:r>
        <w:t xml:space="preserve">fundamentando-se em precedentes consolidados da própria Corte. A</w:t>
      </w:r>
      <w:r>
        <w:t xml:space="preserve"> </w:t>
      </w:r>
      <w:r>
        <w:t xml:space="preserve">estrutura lógica apresentada demonstra clareza na exposição das</w:t>
      </w:r>
      <w:r>
        <w:t xml:space="preserve"> </w:t>
      </w:r>
      <w:r>
        <w:t xml:space="preserve">premissas, seguida de análise aprofundada e conclusão coerente,</w:t>
      </w:r>
      <w:r>
        <w:t xml:space="preserve"> </w:t>
      </w:r>
      <w:r>
        <w:t xml:space="preserve">utilizando-se da interpretação sistemática da Constituição como</w:t>
      </w:r>
      <w:r>
        <w:t xml:space="preserve"> </w:t>
      </w:r>
      <w:r>
        <w:t xml:space="preserve">principal ferramenta hermenêutica.</w:t>
      </w:r>
    </w:p>
    <w:p>
      <w:pPr>
        <w:pStyle w:val="Corpodetexto"/>
      </w:pPr>
      <w:r>
        <w:t xml:space="preserve">Por outro lado, o caso da Deutsche Post evidencia um método</w:t>
      </w:r>
      <w:r>
        <w:t xml:space="preserve"> </w:t>
      </w:r>
      <w:r>
        <w:t xml:space="preserve">investigativo detalhado, com ênfase na análise econômica e</w:t>
      </w:r>
      <w:r>
        <w:t xml:space="preserve"> </w:t>
      </w:r>
      <w:r>
        <w:t xml:space="preserve">estabelecimento de critérios objetivos para caracterização do abuso de</w:t>
      </w:r>
      <w:r>
        <w:t xml:space="preserve"> </w:t>
      </w:r>
      <w:r>
        <w:t xml:space="preserve">posição dominante. A metodologia empregada pela Comissão Europeia inclui</w:t>
      </w:r>
      <w:r>
        <w:t xml:space="preserve"> </w:t>
      </w:r>
      <w:r>
        <w:t xml:space="preserve">análise quantitativa robusta de custos e receitas, bem como critérios</w:t>
      </w:r>
      <w:r>
        <w:t xml:space="preserve"> </w:t>
      </w:r>
      <w:r>
        <w:t xml:space="preserve">claros e bem definidos para delimitação do mercado relevante,</w:t>
      </w:r>
      <w:r>
        <w:t xml:space="preserve"> </w:t>
      </w:r>
      <w:r>
        <w:t xml:space="preserve">demonstrando maior preocupação com aspectos econômicos e concorrenciais</w:t>
      </w:r>
      <w:r>
        <w:t xml:space="preserve"> </w:t>
      </w:r>
      <w:r>
        <w:t xml:space="preserve">do que com questões jurídico-formais.</w:t>
      </w:r>
    </w:p>
    <w:bookmarkEnd w:id="27"/>
    <w:bookmarkStart w:id="28" w:name="profundidade-analítica"/>
    <w:p>
      <w:pPr>
        <w:pStyle w:val="Ttulo2"/>
      </w:pPr>
      <w:r>
        <w:t xml:space="preserve">4.2 Profundidade Analítica</w:t>
      </w:r>
    </w:p>
    <w:p>
      <w:pPr>
        <w:pStyle w:val="FirstParagraph"/>
      </w:pPr>
      <w:r>
        <w:t xml:space="preserve">A profundidade analítica do caso brasileiro concentra-se primordialmente</w:t>
      </w:r>
      <w:r>
        <w:t xml:space="preserve"> </w:t>
      </w:r>
      <w:r>
        <w:t xml:space="preserve">na discussão constitucional da imunidade tributária e suas implicações</w:t>
      </w:r>
      <w:r>
        <w:t xml:space="preserve"> </w:t>
      </w:r>
      <w:r>
        <w:t xml:space="preserve">para o serviço postal. O debate desenvolvido pelo STF aborda questões</w:t>
      </w:r>
      <w:r>
        <w:t xml:space="preserve"> </w:t>
      </w:r>
      <w:r>
        <w:t xml:space="preserve">complexas como a impossibilidade prática de segregação das atividades</w:t>
      </w:r>
      <w:r>
        <w:t xml:space="preserve"> </w:t>
      </w:r>
      <w:r>
        <w:t xml:space="preserve">postais, a legitimidade dos subsídios cruzados e o papel social dos</w:t>
      </w:r>
      <w:r>
        <w:t xml:space="preserve"> </w:t>
      </w:r>
      <w:r>
        <w:t xml:space="preserve">Correios na integração nacional. Esta análise, embora profunda do ponto</w:t>
      </w:r>
      <w:r>
        <w:t xml:space="preserve"> </w:t>
      </w:r>
      <w:r>
        <w:t xml:space="preserve">de vista jurídico-constitucional, dedica menor atenção aos aspectos</w:t>
      </w:r>
      <w:r>
        <w:t xml:space="preserve"> </w:t>
      </w:r>
      <w:r>
        <w:t xml:space="preserve">econômicos e concorrenciais do mercado postal.</w:t>
      </w:r>
    </w:p>
    <w:p>
      <w:pPr>
        <w:pStyle w:val="Corpodetexto"/>
      </w:pPr>
      <w:r>
        <w:t xml:space="preserve">Em contrapartida, o caso europeu apresenta uma análise econômica</w:t>
      </w:r>
      <w:r>
        <w:t xml:space="preserve"> </w:t>
      </w:r>
      <w:r>
        <w:t xml:space="preserve">extremamente detalhada do mercado postal, com identificação precisa das</w:t>
      </w:r>
      <w:r>
        <w:t xml:space="preserve"> </w:t>
      </w:r>
      <w:r>
        <w:t xml:space="preserve">práticas anticompetitivas e estudo aprofundado da estrutura de custos da</w:t>
      </w:r>
      <w:r>
        <w:t xml:space="preserve"> </w:t>
      </w:r>
      <w:r>
        <w:t xml:space="preserve">empresa. A Comissão Europeia realizou uma avaliação minuciosa dos</w:t>
      </w:r>
      <w:r>
        <w:t xml:space="preserve"> </w:t>
      </w:r>
      <w:r>
        <w:t xml:space="preserve">impactos na concorrência, considerando aspectos como barreiras à</w:t>
      </w:r>
      <w:r>
        <w:t xml:space="preserve"> </w:t>
      </w:r>
      <w:r>
        <w:t xml:space="preserve">entrada, poder de mercado e eficiência econômica. A profundidade da</w:t>
      </w:r>
      <w:r>
        <w:t xml:space="preserve"> </w:t>
      </w:r>
      <w:r>
        <w:t xml:space="preserve">análise econômica permite compreender não apenas os aspectos jurídicos</w:t>
      </w:r>
      <w:r>
        <w:t xml:space="preserve"> </w:t>
      </w:r>
      <w:r>
        <w:t xml:space="preserve">da questão, mas também suas implicações práticas para o funcionamento do</w:t>
      </w:r>
      <w:r>
        <w:t xml:space="preserve"> </w:t>
      </w:r>
      <w:r>
        <w:t xml:space="preserve">mercado.</w:t>
      </w:r>
    </w:p>
    <w:bookmarkEnd w:id="28"/>
    <w:bookmarkStart w:id="29" w:name="fundamentação-das-decisões"/>
    <w:p>
      <w:pPr>
        <w:pStyle w:val="Ttulo2"/>
      </w:pPr>
      <w:r>
        <w:t xml:space="preserve">4.3 Fundamentação das Decisões</w:t>
      </w:r>
    </w:p>
    <w:p>
      <w:pPr>
        <w:pStyle w:val="FirstParagraph"/>
      </w:pPr>
      <w:r>
        <w:t xml:space="preserve">A fundamentação da decisão no caso brasileiro está fortemente ancorada</w:t>
      </w:r>
      <w:r>
        <w:t xml:space="preserve"> </w:t>
      </w:r>
      <w:r>
        <w:t xml:space="preserve">nos precedentes do próprio STF e nos princípios constitucionais</w:t>
      </w:r>
      <w:r>
        <w:t xml:space="preserve"> </w:t>
      </w:r>
      <w:r>
        <w:t xml:space="preserve">tributários. O tribunal desenvolve uma argumentação que considera a</w:t>
      </w:r>
      <w:r>
        <w:t xml:space="preserve"> </w:t>
      </w:r>
      <w:r>
        <w:t xml:space="preserve">natureza jurídica peculiar da empresa pública prestadora de serviço</w:t>
      </w:r>
      <w:r>
        <w:t xml:space="preserve"> </w:t>
      </w:r>
      <w:r>
        <w:t xml:space="preserve">postal e sua função social, estabelecendo uma conexão direta entre a</w:t>
      </w:r>
      <w:r>
        <w:t xml:space="preserve"> </w:t>
      </w:r>
      <w:r>
        <w:t xml:space="preserve">imunidade tributária e a garantia de continuidade do serviço público</w:t>
      </w:r>
      <w:r>
        <w:t xml:space="preserve"> </w:t>
      </w:r>
      <w:r>
        <w:t xml:space="preserve">essencial. Esta fundamentação reflete uma preocupação maior com aspectos</w:t>
      </w:r>
      <w:r>
        <w:t xml:space="preserve"> </w:t>
      </w:r>
      <w:r>
        <w:t xml:space="preserve">sociais e de interesse público do que com questões de eficiência</w:t>
      </w:r>
      <w:r>
        <w:t xml:space="preserve"> </w:t>
      </w:r>
      <w:r>
        <w:t xml:space="preserve">econômica.</w:t>
      </w:r>
    </w:p>
    <w:p>
      <w:pPr>
        <w:pStyle w:val="Corpodetexto"/>
      </w:pPr>
      <w:r>
        <w:t xml:space="preserve">O caso europeu, por sua vez, fundamenta-se primordialmente em dados</w:t>
      </w:r>
      <w:r>
        <w:t xml:space="preserve"> </w:t>
      </w:r>
      <w:r>
        <w:t xml:space="preserve">econômicos concretos e na jurisprudência europeia sobre direito da</w:t>
      </w:r>
      <w:r>
        <w:t xml:space="preserve"> </w:t>
      </w:r>
      <w:r>
        <w:t xml:space="preserve">concorrência. A decisão da Comissão baseia-se em uma análise técnica</w:t>
      </w:r>
      <w:r>
        <w:t xml:space="preserve"> </w:t>
      </w:r>
      <w:r>
        <w:t xml:space="preserve">detalhada de custos e preços, bem como no impacto das práticas</w:t>
      </w:r>
      <w:r>
        <w:t xml:space="preserve"> </w:t>
      </w:r>
      <w:r>
        <w:t xml:space="preserve">empresariais no mercado comum europeu. A fundamentação demonstra maior</w:t>
      </w:r>
      <w:r>
        <w:t xml:space="preserve"> </w:t>
      </w:r>
      <w:r>
        <w:t xml:space="preserve">preocupação com a preservação da concorrência efetiva e com a eliminação</w:t>
      </w:r>
      <w:r>
        <w:t xml:space="preserve"> </w:t>
      </w:r>
      <w:r>
        <w:t xml:space="preserve">de práticas anticompetitivas, refletindo uma abordagem mais orientada</w:t>
      </w:r>
      <w:r>
        <w:t xml:space="preserve"> </w:t>
      </w:r>
      <w:r>
        <w:t xml:space="preserve">para o mercado.</w:t>
      </w:r>
    </w:p>
    <w:bookmarkEnd w:id="29"/>
    <w:bookmarkStart w:id="30" w:name="consequências-práticas"/>
    <w:p>
      <w:pPr>
        <w:pStyle w:val="Ttulo2"/>
      </w:pPr>
      <w:r>
        <w:t xml:space="preserve">4.4 Consequências Práticas</w:t>
      </w:r>
    </w:p>
    <w:p>
      <w:pPr>
        <w:pStyle w:val="FirstParagraph"/>
      </w:pPr>
      <w:r>
        <w:t xml:space="preserve">As consequências práticas da decisão brasileira apontam para a</w:t>
      </w:r>
      <w:r>
        <w:t xml:space="preserve"> </w:t>
      </w:r>
      <w:r>
        <w:t xml:space="preserve">manutenção do status quo, preservando a imunidade tributária ampla dos</w:t>
      </w:r>
      <w:r>
        <w:t xml:space="preserve"> </w:t>
      </w:r>
      <w:r>
        <w:t xml:space="preserve">Correios e o modelo de subsídios cruzados entre diferentes serviços</w:t>
      </w:r>
      <w:r>
        <w:t xml:space="preserve"> </w:t>
      </w:r>
      <w:r>
        <w:t xml:space="preserve">postais. Esta decisão tem impacto significativo na arrecadação dos</w:t>
      </w:r>
      <w:r>
        <w:t xml:space="preserve"> </w:t>
      </w:r>
      <w:r>
        <w:t xml:space="preserve">Estados e na manutenção do atual modelo de funcionamento dos Correios,</w:t>
      </w:r>
      <w:r>
        <w:t xml:space="preserve"> </w:t>
      </w:r>
      <w:r>
        <w:t xml:space="preserve">privilegiando a continuidade do serviço público em detrimento de</w:t>
      </w:r>
      <w:r>
        <w:t xml:space="preserve"> </w:t>
      </w:r>
      <w:r>
        <w:t xml:space="preserve">considerações sobre eficiência econômica ou concorrência no setor.</w:t>
      </w:r>
    </w:p>
    <w:p>
      <w:pPr>
        <w:pStyle w:val="Corpodetexto"/>
      </w:pPr>
      <w:r>
        <w:t xml:space="preserve">No âmbito europeu, as consequências práticas são mais interventivas e</w:t>
      </w:r>
      <w:r>
        <w:t xml:space="preserve"> </w:t>
      </w:r>
      <w:r>
        <w:t xml:space="preserve">transformadoras. A decisão resultou na imposição de multa significativa</w:t>
      </w:r>
      <w:r>
        <w:t xml:space="preserve"> </w:t>
      </w:r>
      <w:r>
        <w:t xml:space="preserve">à Deutsche Post e na obrigação de cessar práticas anticompetitivas. Além</w:t>
      </w:r>
      <w:r>
        <w:t xml:space="preserve"> </w:t>
      </w:r>
      <w:r>
        <w:t xml:space="preserve">disso, determinou-se a separação estrutural das atividades e maior</w:t>
      </w:r>
      <w:r>
        <w:t xml:space="preserve"> </w:t>
      </w:r>
      <w:r>
        <w:t xml:space="preserve">transparência contábil, visando prevenir futuros abusos de posição</w:t>
      </w:r>
      <w:r>
        <w:t xml:space="preserve"> </w:t>
      </w:r>
      <w:r>
        <w:t xml:space="preserve">dominante. Estas medidas demonstram uma preocupação maior com a promoção</w:t>
      </w:r>
      <w:r>
        <w:t xml:space="preserve"> </w:t>
      </w:r>
      <w:r>
        <w:t xml:space="preserve">da concorrência efetiva e com a eficiência econômica do setor postal.</w:t>
      </w:r>
    </w:p>
    <w:bookmarkEnd w:id="30"/>
    <w:bookmarkEnd w:id="31"/>
    <w:bookmarkStart w:id="32" w:name="conclusão"/>
    <w:p>
      <w:pPr>
        <w:pStyle w:val="Ttulo1"/>
      </w:pPr>
      <w:r>
        <w:t xml:space="preserve">CONCLUSÃO</w:t>
      </w:r>
    </w:p>
    <w:p>
      <w:pPr>
        <w:pStyle w:val="FirstParagraph"/>
      </w:pPr>
      <w:r>
        <w:t xml:space="preserve">A análise comparativa dos casos revela duas abordagens fundamentalmente</w:t>
      </w:r>
      <w:r>
        <w:t xml:space="preserve"> </w:t>
      </w:r>
      <w:r>
        <w:t xml:space="preserve">distintas para questões envolvendo serviços postais. O caso brasileiro</w:t>
      </w:r>
      <w:r>
        <w:t xml:space="preserve"> </w:t>
      </w:r>
      <w:r>
        <w:t xml:space="preserve">privilegia uma análise constitucional e a preservação do modelo público</w:t>
      </w:r>
      <w:r>
        <w:t xml:space="preserve"> </w:t>
      </w:r>
      <w:r>
        <w:t xml:space="preserve">de prestação de serviços, com ênfase em aspectos sociais e de interesse</w:t>
      </w:r>
      <w:r>
        <w:t xml:space="preserve"> </w:t>
      </w:r>
      <w:r>
        <w:t xml:space="preserve">público. Em contraste, o caso europeu enfatiza a análise econômica e a</w:t>
      </w:r>
      <w:r>
        <w:t xml:space="preserve"> </w:t>
      </w:r>
      <w:r>
        <w:t xml:space="preserve">proteção da concorrência, focando na eficiência do mercado e na</w:t>
      </w:r>
      <w:r>
        <w:t xml:space="preserve"> </w:t>
      </w:r>
      <w:r>
        <w:t xml:space="preserve">prevenção de práticas anticompetitivas.</w:t>
      </w:r>
    </w:p>
    <w:p>
      <w:pPr>
        <w:pStyle w:val="Corpodetexto"/>
      </w:pPr>
      <w:r>
        <w:t xml:space="preserve">Embora ambos os casos demonstrem rigor metodológico em suas análises, as</w:t>
      </w:r>
      <w:r>
        <w:t xml:space="preserve"> </w:t>
      </w:r>
      <w:r>
        <w:t xml:space="preserve">ênfases são claramente diferentes: o caso brasileiro prioriza aspectos</w:t>
      </w:r>
      <w:r>
        <w:t xml:space="preserve"> </w:t>
      </w:r>
      <w:r>
        <w:t xml:space="preserve">constitucionais e sociais, enquanto o europeu concentra-se em questões</w:t>
      </w:r>
      <w:r>
        <w:t xml:space="preserve"> </w:t>
      </w:r>
      <w:r>
        <w:t xml:space="preserve">econômicas e concorrenciais. As consequências práticas das decisões</w:t>
      </w:r>
      <w:r>
        <w:t xml:space="preserve"> </w:t>
      </w:r>
      <w:r>
        <w:t xml:space="preserve">refletem essas diferentes abordagens, resultando em soluções distintas</w:t>
      </w:r>
      <w:r>
        <w:t xml:space="preserve"> </w:t>
      </w:r>
      <w:r>
        <w:t xml:space="preserve">para problemas semelhantes no setor postal. Esta divergência evidencia</w:t>
      </w:r>
      <w:r>
        <w:t xml:space="preserve"> </w:t>
      </w:r>
      <w:r>
        <w:t xml:space="preserve">as diferentes tradições jurídicas e objetivos regulatórios perseguidos</w:t>
      </w:r>
      <w:r>
        <w:t xml:space="preserve"> </w:t>
      </w:r>
      <w:r>
        <w:t xml:space="preserve">em cada jurisdição.</w:t>
      </w:r>
    </w:p>
    <w:bookmarkEnd w:id="32"/>
    <w:bookmarkStart w:id="33" w:name="discussão"/>
    <w:p>
      <w:pPr>
        <w:pStyle w:val="Ttulo1"/>
      </w:pPr>
      <w:r>
        <w:t xml:space="preserve">DISCUSSÃO</w:t>
      </w:r>
    </w:p>
    <w:p>
      <w:pPr>
        <w:pStyle w:val="FirstParagraph"/>
      </w:pPr>
      <w:r>
        <w:t xml:space="preserve">5.1 A Ilusão de Competência Regulatória 5.2 Limites do Direito como</w:t>
      </w:r>
      <w:r>
        <w:t xml:space="preserve"> </w:t>
      </w:r>
      <w:r>
        <w:t xml:space="preserve">Instrumento de Análise Econômica 5.3 Necessidade de</w:t>
      </w:r>
      <w:r>
        <w:t xml:space="preserve"> </w:t>
      </w:r>
      <w:r>
        <w:t xml:space="preserve">Interdisciplinaridade</w:t>
      </w:r>
    </w:p>
    <w:bookmarkEnd w:id="33"/>
    <w:bookmarkStart w:id="34" w:name="conclusões-e-recomendações"/>
    <w:p>
      <w:pPr>
        <w:pStyle w:val="Ttulo1"/>
      </w:pPr>
      <w:r>
        <w:t xml:space="preserve">CONCLUSÕES E RECOMENDAÇÕES</w:t>
      </w:r>
    </w:p>
    <w:bookmarkEnd w:id="34"/>
    <w:bookmarkStart w:id="35" w:name="referências"/>
    <w:p>
      <w:pPr>
        <w:pStyle w:val="Ttulo1"/>
      </w:pPr>
      <w:r>
        <w:t xml:space="preserve">REFERÊNCIAS</w:t>
      </w:r>
    </w:p>
    <w:bookmarkEnd w:id="35"/>
    <w:sectPr w:rsidR="001F5B5F">
      <w:pgSz w:h="16838" w:w="11906"/>
      <w:pgMar w:bottom="1134" w:footer="0" w:gutter="0" w:header="0" w:left="1134" w:right="1134" w:top="1134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Textodenotaderodap"/>
      </w:pPr>
      <w:r>
        <w:rPr>
          <w:rStyle w:val="FootnoteReference"/>
        </w:rPr>
        <w:footnoteRef/>
      </w:r>
      <w:r>
        <w:t xml:space="preserve"> </w:t>
      </w:r>
      <w:r>
        <w:t xml:space="preserve">teste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9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Lohit Devanagari" w:eastAsia="Noto Serif CJK SC" w:hAnsi="Cambria"/>
        <w:kern w:val="2"/>
        <w:sz w:val="24"/>
        <w:szCs w:val="24"/>
        <w:lang w:bidi="hi-IN" w:eastAsia="zh-CN" w:val="pt-BR"/>
      </w:rPr>
    </w:rPrDefault>
    <w:pPrDefault>
      <w:pPr>
        <w:suppressAutoHyphens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after="567" w:before="567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qFormat/>
    <w:rsid w:val="00AF0735"/>
    <w:pPr>
      <w:keepNext/>
      <w:keepLines/>
      <w:spacing w:after="80" w:before="360"/>
      <w:outlineLvl w:val="0"/>
    </w:pPr>
    <w:rPr>
      <w:rFonts w:cstheme="majorBidi" w:eastAsiaTheme="majorEastAsia"/>
      <w:b/>
      <w:caps/>
      <w:szCs w:val="40"/>
    </w:rPr>
  </w:style>
  <w:style w:styleId="Ttulo2" w:type="paragraph">
    <w:name w:val="heading 2"/>
    <w:basedOn w:val="Normal"/>
    <w:next w:val="Corpodetexto"/>
    <w:uiPriority w:val="9"/>
    <w:unhideWhenUsed/>
    <w:qFormat/>
    <w:rsid w:val="00C70FA6"/>
    <w:pPr>
      <w:keepNext/>
      <w:keepLines/>
      <w:spacing w:after="283" w:before="283"/>
      <w:jc w:val="both"/>
      <w:outlineLvl w:val="1"/>
    </w:pPr>
    <w:rPr>
      <w:rFonts w:cstheme="majorBidi" w:eastAsiaTheme="majorEastAsia"/>
      <w:b/>
      <w:caps/>
      <w:szCs w:val="32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customStyle="1" w:styleId="BodyTextChar" w:type="character">
    <w:name w:val="Body Text Char"/>
    <w:basedOn w:val="Fontepargpadro"/>
    <w:qFormat/>
  </w:style>
  <w:style w:styleId="Hyperlink" w:type="character">
    <w:name w:val="Hyperlink"/>
    <w:basedOn w:val="BodyTextChar"/>
    <w:rPr>
      <w:color w:themeColor="accent1" w:val="156082"/>
    </w:rPr>
  </w:style>
  <w:style w:customStyle="1" w:styleId="FootnoteCharacters" w:type="character">
    <w:name w:val="Footnote Characters"/>
    <w:qFormat/>
  </w:style>
  <w:style w:customStyle="1" w:styleId="FootnoteAnchor" w:type="character">
    <w:name w:val="Footnote Anchor"/>
    <w:rPr>
      <w:vertAlign w:val="superscript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IndexLink" w:type="character">
    <w:name w:val="Index Link"/>
    <w:qFormat/>
  </w:style>
  <w:style w:customStyle="1" w:styleId="Heading" w:type="paragraph">
    <w:name w:val="Heading"/>
    <w:basedOn w:val="Normal"/>
    <w:next w:val="Corpodetexto"/>
    <w:qFormat/>
    <w:pPr>
      <w:keepNext/>
      <w:spacing w:after="120" w:before="240"/>
    </w:pPr>
    <w:rPr>
      <w:rFonts w:ascii="Liberation Sans" w:eastAsia="Noto Sans CJK SC" w:hAnsi="Liberation Sans"/>
      <w:sz w:val="28"/>
      <w:szCs w:val="28"/>
    </w:rPr>
  </w:style>
  <w:style w:styleId="Corpodetexto" w:type="paragraph">
    <w:name w:val="Body Text"/>
    <w:basedOn w:val="Normal"/>
    <w:pPr>
      <w:spacing w:after="283" w:before="283"/>
      <w:ind w:firstLine="850"/>
      <w:jc w:val="both"/>
    </w:pPr>
  </w:style>
  <w:style w:styleId="Lista" w:type="paragraph">
    <w:name w:val="List"/>
    <w:basedOn w:val="Corpodetexto"/>
    <w:rPr>
      <w:rFonts w:ascii="Cambria" w:hAnsi="Cambria"/>
    </w:rPr>
  </w:style>
  <w:style w:styleId="Legenda" w:type="paragraph">
    <w:name w:val="caption"/>
    <w:basedOn w:val="Normal"/>
    <w:qFormat/>
    <w:pPr>
      <w:suppressLineNumbers/>
      <w:spacing w:after="120" w:before="120"/>
    </w:pPr>
    <w:rPr>
      <w:rFonts w:ascii="Cambria" w:hAnsi="Cambria"/>
      <w:i/>
      <w:iCs/>
    </w:rPr>
  </w:style>
  <w:style w:customStyle="1" w:styleId="Index" w:type="paragraph">
    <w:name w:val="Index"/>
    <w:basedOn w:val="Normal"/>
    <w:qFormat/>
    <w:pPr>
      <w:suppressLineNumbers/>
    </w:pPr>
    <w:rPr>
      <w:rFonts w:ascii="Cambria" w:hAnsi="Cambria"/>
    </w:rPr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uiPriority w:val="10"/>
    <w:qFormat/>
    <w:pPr>
      <w:spacing w:after="0" w:before="0" w:line="240" w:lineRule="auto"/>
      <w:contextualSpacing/>
      <w:jc w:val="center"/>
    </w:pPr>
    <w:rPr>
      <w:rFonts w:cstheme="majorBidi" w:eastAsiaTheme="majorEastAsia"/>
      <w:b/>
      <w:szCs w:val="56"/>
    </w:rPr>
  </w:style>
  <w:style w:styleId="Subttulo" w:type="paragraph">
    <w:name w:val="Subtitle"/>
    <w:basedOn w:val="Normal"/>
    <w:next w:val="Corpodetexto"/>
    <w:uiPriority w:val="11"/>
    <w:qFormat/>
    <w:pPr>
      <w:spacing w:after="0" w:before="0" w:line="240" w:lineRule="auto"/>
      <w:jc w:val="center"/>
    </w:pPr>
    <w:rPr>
      <w:rFonts w:cstheme="majorBidi" w:eastAsiaTheme="majorEastAsia"/>
      <w:color w:val="000000"/>
      <w:szCs w:val="28"/>
    </w:rPr>
  </w:style>
  <w:style w:customStyle="1" w:styleId="Author" w:type="paragraph">
    <w:name w:val="Author"/>
    <w:next w:val="Corpodetexto"/>
    <w:qFormat/>
    <w:rsid w:val="00AF0735"/>
    <w:pPr>
      <w:keepNext/>
      <w:keepLines/>
      <w:spacing w:before="283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spacing w:after="283"/>
      <w:jc w:val="right"/>
    </w:pPr>
    <w:rPr>
      <w:rFonts w:ascii="Times New Roman" w:hAnsi="Times New Roman"/>
    </w:rPr>
  </w:style>
  <w:style w:customStyle="1" w:styleId="FirstParagraph" w:type="paragraph">
    <w:name w:val="First Paragraph"/>
    <w:basedOn w:val="Corpodetexto"/>
    <w:next w:val="Corpodetexto"/>
    <w:qFormat/>
  </w:style>
  <w:style w:styleId="Textodenotaderodap" w:type="paragraph">
    <w:name w:val="footnote text"/>
    <w:basedOn w:val="Normal"/>
    <w:pPr>
      <w:suppressLineNumbers/>
      <w:spacing w:after="0" w:before="0" w:line="240" w:lineRule="auto"/>
      <w:jc w:val="both"/>
    </w:pPr>
    <w:rPr>
      <w:sz w:val="20"/>
      <w:szCs w:val="20"/>
    </w:rPr>
  </w:style>
  <w:style w:styleId="Textoembloco" w:type="paragraph">
    <w:name w:val="Block Text"/>
    <w:basedOn w:val="Corpodetexto"/>
    <w:next w:val="Corpodetexto"/>
    <w:qFormat/>
    <w:pPr>
      <w:spacing w:after="454" w:line="240" w:lineRule="auto"/>
      <w:ind w:firstLine="0" w:left="2268"/>
    </w:pPr>
    <w:rPr>
      <w:sz w:val="20"/>
    </w:rPr>
  </w:style>
  <w:style w:styleId="Ttulodendiceremissivo" w:type="paragraph">
    <w:name w:val="index heading"/>
    <w:basedOn w:val="Heading"/>
    <w:pPr>
      <w:suppressLineNumbers/>
    </w:pPr>
    <w:rPr>
      <w:b/>
      <w:bCs/>
      <w:sz w:val="32"/>
      <w:szCs w:val="32"/>
    </w:rPr>
  </w:style>
  <w:style w:styleId="CabealhodoSumrio" w:type="paragraph">
    <w:name w:val="TOC Heading"/>
    <w:basedOn w:val="Ttulodendiceremissivo"/>
    <w:pPr>
      <w:spacing w:after="0" w:before="0"/>
      <w:jc w:val="center"/>
    </w:pPr>
    <w:rPr>
      <w:rFonts w:ascii="Times New Roman" w:hAnsi="Times New Roman"/>
      <w:b w:val="0"/>
      <w:sz w:val="20"/>
    </w:rPr>
  </w:style>
  <w:style w:styleId="Sumrio1" w:type="paragraph">
    <w:name w:val="toc 1"/>
    <w:basedOn w:val="Index"/>
    <w:pPr>
      <w:tabs>
        <w:tab w:leader="dot" w:pos="9638" w:val="right"/>
      </w:tabs>
      <w:spacing w:after="0" w:before="0" w:line="240" w:lineRule="auto"/>
    </w:pPr>
    <w:rPr>
      <w:rFonts w:ascii="Times New Roman" w:hAnsi="Times New Roman"/>
      <w:sz w:val="20"/>
    </w:rPr>
  </w:style>
  <w:style w:styleId="Sumrio2" w:type="paragraph">
    <w:name w:val="toc 2"/>
    <w:basedOn w:val="Index"/>
    <w:pPr>
      <w:tabs>
        <w:tab w:leader="dot" w:pos="9355" w:val="right"/>
      </w:tabs>
      <w:spacing w:after="0" w:before="0" w:line="240" w:lineRule="auto"/>
    </w:pPr>
    <w:rPr>
      <w:rFonts w:ascii="Times New Roman" w:hAnsi="Times New Roman"/>
      <w:sz w:val="2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direito e economia</dc:title>
  <dc:creator>Alceu Eilert Nascimento</dc:creator>
  <cp:keywords/>
  <dcterms:created xsi:type="dcterms:W3CDTF">2024-11-24T18:21:17Z</dcterms:created>
  <dcterms:modified xsi:type="dcterms:W3CDTF">2024-11-24T18:21:17Z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bibliografia.bib</vt:lpwstr>
  </property>
  <property fmtid="{D5CDD505-2E9C-101B-9397-08002B2CF9AE}" pid="5" name="by-author">
    <vt:lpwstr/>
  </property>
  <property fmtid="{D5CDD505-2E9C-101B-9397-08002B2CF9AE}" pid="6" name="csl">
    <vt:lpwstr>ipea.csl</vt:lpwstr>
  </property>
  <property fmtid="{D5CDD505-2E9C-101B-9397-08002B2CF9AE}" pid="7" name="date">
    <vt:lpwstr>2024-08-25</vt:lpwstr>
  </property>
  <property fmtid="{D5CDD505-2E9C-101B-9397-08002B2CF9AE}" pid="8" name="endnote">
    <vt:lpwstr>no</vt:lpwstr>
  </property>
  <property fmtid="{D5CDD505-2E9C-101B-9397-08002B2CF9AE}" pid="9" name="geometry">
    <vt:lpwstr>left=3cm, right=2cm, top=3cm, bottom=2cm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eep_tex">
    <vt:lpwstr>True</vt:lpwstr>
  </property>
  <property fmtid="{D5CDD505-2E9C-101B-9397-08002B2CF9AE}" pid="14" name="labels">
    <vt:lpwstr/>
  </property>
  <property fmtid="{D5CDD505-2E9C-101B-9397-08002B2CF9AE}" pid="15" name="link-citations">
    <vt:lpwstr>True</vt:lpwstr>
  </property>
  <property fmtid="{D5CDD505-2E9C-101B-9397-08002B2CF9AE}" pid="16" name="subtitle">
    <vt:lpwstr>Uma Análise sob a Ótica da Regulação e dos Incentivos Econômicos</vt:lpwstr>
  </property>
  <property fmtid="{D5CDD505-2E9C-101B-9397-08002B2CF9AE}" pid="17" name="toc-title">
    <vt:lpwstr>Table of contents</vt:lpwstr>
  </property>
</Properties>
</file>