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Estrutura</w:t>
      </w:r>
      <w:r>
        <w:t xml:space="preserve"> </w:t>
      </w:r>
      <w:r>
        <w:t xml:space="preserve">Financeira</w:t>
      </w:r>
      <w:r>
        <w:t xml:space="preserve"> </w:t>
      </w:r>
      <w:r>
        <w:t xml:space="preserve">da</w:t>
      </w:r>
      <w:r>
        <w:t xml:space="preserve"> </w:t>
      </w:r>
      <w:r>
        <w:t xml:space="preserve">Incorporação</w:t>
      </w:r>
      <w:r>
        <w:t xml:space="preserve"> </w:t>
      </w:r>
      <w:r>
        <w:t xml:space="preserve">Imobiliária</w:t>
      </w:r>
    </w:p>
    <w:p>
      <w:pPr>
        <w:pStyle w:val="Subtitle"/>
      </w:pPr>
      <w:r>
        <w:t xml:space="preserve">Uma</w:t>
      </w:r>
      <w:r>
        <w:t xml:space="preserve"> </w:t>
      </w:r>
      <w:r>
        <w:t xml:space="preserve">Análise</w:t>
      </w:r>
      <w:r>
        <w:t xml:space="preserve"> </w:t>
      </w:r>
      <w:r>
        <w:t xml:space="preserve">sob</w:t>
      </w:r>
      <w:r>
        <w:t xml:space="preserve"> </w:t>
      </w:r>
      <w:r>
        <w:t xml:space="preserve">a</w:t>
      </w:r>
      <w:r>
        <w:t xml:space="preserve"> </w:t>
      </w:r>
      <w:r>
        <w:t xml:space="preserve">Ótica</w:t>
      </w:r>
      <w:r>
        <w:t xml:space="preserve"> </w:t>
      </w:r>
      <w:r>
        <w:t xml:space="preserve">da</w:t>
      </w:r>
      <w:r>
        <w:t xml:space="preserve"> </w:t>
      </w:r>
      <w:r>
        <w:t xml:space="preserve">Regulação</w:t>
      </w:r>
      <w:r>
        <w:t xml:space="preserve"> </w:t>
      </w:r>
      <w:r>
        <w:t xml:space="preserve">e</w:t>
      </w:r>
      <w:r>
        <w:t xml:space="preserve"> </w:t>
      </w:r>
      <w:r>
        <w:t xml:space="preserve">dos</w:t>
      </w:r>
      <w:r>
        <w:t xml:space="preserve"> </w:t>
      </w:r>
      <w:r>
        <w:t xml:space="preserve">Incentivos</w:t>
      </w:r>
      <w:r>
        <w:t xml:space="preserve"> </w:t>
      </w:r>
      <w:r>
        <w:t xml:space="preserve">Econômicos</w:t>
      </w:r>
    </w:p>
    <w:p>
      <w:pPr>
        <w:pStyle w:val="Author"/>
      </w:pPr>
      <w:r>
        <w:t xml:space="preserve">Alceu</w:t>
      </w:r>
      <w:r>
        <w:t xml:space="preserve"> </w:t>
      </w:r>
      <w:r>
        <w:t xml:space="preserve">Eilert</w:t>
      </w:r>
      <w:r>
        <w:t xml:space="preserve"> </w:t>
      </w:r>
      <w:r>
        <w:t xml:space="preserve">Nascimento</w:t>
      </w:r>
      <w:r>
        <w:t xml:space="preserve"> </w:t>
      </w:r>
      <w:r>
        <w:t xml:space="preserve">e</w:t>
      </w:r>
      <w:r>
        <w:t xml:space="preserve"> </w:t>
      </w:r>
      <w:r>
        <w:t xml:space="preserve">Tiago</w:t>
      </w:r>
      <w:r>
        <w:t xml:space="preserve"> </w:t>
      </w:r>
      <w:r>
        <w:t xml:space="preserve">Monteiro</w:t>
      </w:r>
      <w:r>
        <w:t xml:space="preserve"> </w:t>
      </w:r>
      <w:r>
        <w:t xml:space="preserve">Arruda</w:t>
      </w:r>
      <w:r>
        <w:t xml:space="preserve"> </w:t>
      </w:r>
      <w:r>
        <w:t xml:space="preserve">Soares</w:t>
      </w:r>
    </w:p>
    <w:p>
      <w:pPr>
        <w:pStyle w:val="Date"/>
      </w:pPr>
      <w:r>
        <w:t xml:space="preserve">2024-08-25</w:t>
      </w:r>
    </w:p>
    <w:bookmarkStart w:id="21" w:name="estrutura-apagar"/>
    <w:p>
      <w:pPr>
        <w:pStyle w:val="Heading1"/>
      </w:pPr>
      <w:r>
        <w:t xml:space="preserve">estrutura (apagar)</w:t>
      </w:r>
    </w:p>
    <w:p>
      <w:pPr>
        <w:pStyle w:val="FirstParagraph"/>
      </w:pPr>
      <w:r>
        <w:t xml:space="preserve">Este é o texto padrao de paragrafo simples. Teste de citação</w:t>
      </w:r>
      <w:r>
        <w:rPr>
          <w:rStyle w:val="FootnoteReference"/>
        </w:rPr>
        <w:footnoteReference w:id="20"/>
      </w:r>
      <w:r>
        <w:t xml:space="preserve"> </w:t>
      </w:r>
      <w:r>
        <w:t xml:space="preserve">do Zotero</w:t>
      </w:r>
      <w:r>
        <w:t xml:space="preserve"> </w:t>
      </w:r>
      <w:r>
        <w:t xml:space="preserve">(</w:t>
      </w:r>
      <w:hyperlink w:anchor="ref-chalhub2003">
        <w:r>
          <w:rPr>
            <w:rStyle w:val="InternetLink"/>
          </w:rPr>
          <w:t xml:space="preserve">Chalhub, 2003</w:t>
        </w:r>
      </w:hyperlink>
      <w:r>
        <w:t xml:space="preserve">)</w:t>
      </w:r>
      <w:r>
        <w:t xml:space="preserve">, sendo outra citacao como:</w:t>
      </w:r>
    </w:p>
    <w:p>
      <w:pPr>
        <w:pStyle w:val="BlockText"/>
      </w:pPr>
      <w:r>
        <w:t xml:space="preserve">lorem ipsun moral, sucudum. lorem ipsun moral, sucudum.lorem ipsun moral, sucudum. lorem ipsun moral, sucudum.lorem ipsun moral, sucudum. lorem ipsun moral, sucudum</w:t>
      </w:r>
      <w:r>
        <w:t xml:space="preserve"> </w:t>
      </w:r>
      <w:r>
        <w:t xml:space="preserve">(</w:t>
      </w:r>
      <w:hyperlink w:anchor="ref-chalhub2003">
        <w:r>
          <w:rPr>
            <w:rStyle w:val="InternetLink"/>
          </w:rPr>
          <w:t xml:space="preserve">Chalhub, 2003</w:t>
        </w:r>
      </w:hyperlink>
      <w:r>
        <w:t xml:space="preserve">)</w:t>
      </w:r>
      <w:r>
        <w:t xml:space="preserve">.</w:t>
      </w:r>
    </w:p>
    <w:p>
      <w:pPr>
        <w:pStyle w:val="FirstParagraph"/>
      </w:pPr>
      <w:r>
        <w:t xml:space="preserve">Essa foi a citacao.</w:t>
      </w:r>
    </w:p>
    <w:bookmarkEnd w:id="21"/>
    <w:bookmarkStart w:id="22" w:name="introdução"/>
    <w:p>
      <w:pPr>
        <w:pStyle w:val="Heading1"/>
      </w:pPr>
      <w:r>
        <w:t xml:space="preserve">Introdução</w:t>
      </w:r>
    </w:p>
    <w:p>
      <w:pPr>
        <w:pStyle w:val="FirstParagraph"/>
      </w:pPr>
      <w:r>
        <w:t xml:space="preserve">Uma jornada histórica que demonstra como a evolução do marco regulatório moldou o mercado imobiliário, oferecendo insights sobre as interações complexas entre leis, práticas de mercado e economia. Cada fase da história apresenta desafios e soluções distintos, culminando em uma discussão sobre o presente e o futuro do setor. A divisão em três capítulos principais permite uma análise profunda de cada fase, destacando os contextos históricos, as mudanças regulatórias, e as implicações econômicas e jurídicas.</w:t>
      </w:r>
    </w:p>
    <w:bookmarkEnd w:id="22"/>
    <w:bookmarkStart w:id="25" w:name="X14fb04bd0f83ff550ff4100ef1bae8f9cee8f51"/>
    <w:p>
      <w:pPr>
        <w:pStyle w:val="Heading1"/>
      </w:pPr>
      <w:r>
        <w:t xml:space="preserve">1. A Lei de Incorporação Original (1964-2004) - O Surgimento de um Novo Modelo e a Era da Transparência</w:t>
      </w:r>
    </w:p>
    <w:p>
      <w:pPr>
        <w:pStyle w:val="FirstParagraph"/>
      </w:pPr>
      <w:r>
        <w:t xml:space="preserve">A […].</w:t>
      </w:r>
    </w:p>
    <w:bookmarkStart w:id="23" w:name="X197361b66aef87cef5ba760a6c49499fed6fe1d"/>
    <w:p>
      <w:pPr>
        <w:pStyle w:val="Heading2"/>
      </w:pPr>
      <w:r>
        <w:t xml:space="preserve">1.1. Estado das Coisas Pré-Lei 4.591/64: O Contexto do Mercado Imobiliário e as Discussões Legislativas</w:t>
      </w:r>
    </w:p>
    <w:p>
      <w:pPr>
        <w:pStyle w:val="FirstParagraph"/>
      </w:pPr>
      <w:r>
        <w:t xml:space="preserve">[ Descrição do cenário jurídico e econômico antes de 1964, caracterizado pela falta de regulamentação específica para incorporações imobiliárias.] [ Exploração das iniciativas legislativas em andamento no Congresso na época, buscando regulamentar o setor imobiliário.] [ Discussão sobre os riscos e incertezas enfrentados pelos adquirentes e incorporadores na ausência de um marco regulatório robusto.]</w:t>
      </w:r>
    </w:p>
    <w:p>
      <w:pPr>
        <w:pStyle w:val="TextBody"/>
      </w:pPr>
      <w:r>
        <w:t xml:space="preserve">Antes da promulgação da Lei 4.591/64, o mercado imobiliário brasileiro operava em um contexto de extrema incerteza e desorganização. A ausência de regulamentação específica para incorporações imobiliárias gerava um ambiente marcado pela insegurança jurídica tanto para os adquirentes quanto para os incorporadores. Os adquirentes, na época, não tinham garantias formais de que os projetos imobiliários nos quais investiam antecipadamente seriam efetivamente concluídos, muito menos que a edificação teria as características prometidas. Já os incorporadores enfrentavam dificuldades em obter financiamento e organizar as vendas, uma vez que não existia um marco que definisse claramente suas obrigações e responsabilidades.</w:t>
      </w:r>
    </w:p>
    <w:p>
      <w:pPr>
        <w:pStyle w:val="TextBody"/>
      </w:pPr>
      <w:r>
        <w:t xml:space="preserve">Nesse período, o setor imobiliário brasileiro era caracterizado por uma informalidade generalizada, o que resultava em uma série de riscos para todos os envolvidos. A ausência de um marco regulatório para as incorporações impedia que os adquirentes tivessem segurança sobre a entrega dos imóveis e sobre a qualidade das obras. Frequentemente, o comprador de um imóvel na planta se via à mercê da solvência e da idoneidade do incorporador, não havendo mecanismos legais eficazes que garantissem a conclusão do empreendimento ou que permitissem a recuperação do capital investido em caso de inadimplemento.</w:t>
      </w:r>
    </w:p>
    <w:p>
      <w:pPr>
        <w:pStyle w:val="TextBody"/>
      </w:pPr>
      <w:r>
        <w:t xml:space="preserve">As discussões legislativas que precederam a Lei 4.591/64 emergiram em um contexto de crescente urbanização e demanda habitacional. Nos anos 1960, o Brasil experimentava um acelerado crescimento populacional nas áreas urbanas, impulsionado pela industrialização e pela migração de trabalhadores do campo para a cidade. Essa pressão sobre a infraestrutura urbana evidenciou a necessidade de um mercado imobiliário mais organizado e transparente, capaz de atender à crescente demanda por habitação. Diante disso, começaram a surgir propostas no Congresso Nacional com vistas a regulamentar a atividade de incorporação, objetivando reduzir os riscos associados à compra de imóveis na planta e estimular a construção de novas unidades habitacionais.</w:t>
      </w:r>
    </w:p>
    <w:p>
      <w:pPr>
        <w:pStyle w:val="TextBody"/>
      </w:pPr>
      <w:r>
        <w:t xml:space="preserve">Uma das principais preocupações das iniciativas legislativas era proteger os adquirentes de imóveis, que, naquela época, já eram incentivados a financiar diretamente as obras dos empreendimentos imobiliários. Esse modelo de autofinanciamento, embora permitisse o acesso de uma maior parcela da população ao mercado imobiliário, também apresentava riscos substanciais, pois os adquirentes não dispunham de informações adequadas sobre o andamento das obras, nem de garantias legais sobre a aplicação dos recursos por eles aportados. Assim, as propostas legislativas visavam estabelecer mecanismos de transparência que permitissem o acompanhamento pelos adquirentes e disciplinassem a atividade dos incorporadores.</w:t>
      </w:r>
    </w:p>
    <w:p>
      <w:pPr>
        <w:pStyle w:val="TextBody"/>
      </w:pPr>
      <w:r>
        <w:t xml:space="preserve">Outra questão relevante no período pré-Lei 4.591/64 foi a inexistência de regras claras para a publicidade dos empreendimentos e a captação de recursos do público. Muitos incorporadores utilizavam a venda antecipada de unidades imobiliárias como forma de captação de capital, mas sem qualquer exigência de transparência sobre a viabilidade do empreendimento ou sobre a situação financeira do projeto. Isso resultava em um ambiente de extrema vulnerabilidade para os adquirentes, que assumiam o risco integral da execução das obras sem garantias de que os recursos seriam corretamente aplicados.</w:t>
      </w:r>
    </w:p>
    <w:p>
      <w:pPr>
        <w:pStyle w:val="TextBody"/>
      </w:pPr>
      <w:r>
        <w:t xml:space="preserve">A ausência de regulamentação também criava dificuldades para o desenvolvimento do próprio mercado de incorporação. Sem um marco legal que definisse os direitos e deveres dos envolvidos, os financiadores tradicionais – como bancos e outras instituições financeiras – mostravam-se reticentes em conceder crédito para esse tipo de atividade. Assim, os incorporadores muitas vezes tinham que recorrer a fontes de financiamento alternativas, como o próprio capital dos adquirentes ou recursos próprios, limitando o potencial de crescimento do setor.</w:t>
      </w:r>
    </w:p>
    <w:p>
      <w:pPr>
        <w:pStyle w:val="TextBody"/>
      </w:pPr>
      <w:r>
        <w:t xml:space="preserve">Diante desse contexto, a Lei 4.591/64 surgiu como uma tentativa de superar essas limitações e promover um mercado imobiliário mais organizado e seguro. O texto legislativo, que passou por um longo processo de discussão e negociação no Congresso Nacional, teve como objetivo principal a criação de mecanismos que trouxessem maior transparência à relação entre incorporadores e adquirentes, reduzindo os riscos envolvidos na compra de imóveis na planta e estimulando a confiança dos agentes financeiros no setor.</w:t>
      </w:r>
    </w:p>
    <w:p>
      <w:pPr>
        <w:pStyle w:val="TextBody"/>
      </w:pPr>
      <w:r>
        <w:t xml:space="preserve">A Lei 4.591/64 representou, assim, um divisor de águas para o mercado imobiliário brasileiro, estabelecendo um marco regulatório que buscava equilibrar os interesses dos diferentes atores envolvidos – incorporadores, adquirentes e financiadores – e garantir um ambiente mais seguro e previsível para os investimentos imobiliários. Nos tópicos subsequentes, serão abordadas as principais inovações trazidas pela lei e como essas mudanças contribuíram para o desenvolvimento do mercado ao longo das décadas seguintes.</w:t>
      </w:r>
    </w:p>
    <w:bookmarkEnd w:id="23"/>
    <w:bookmarkStart w:id="24" w:name="Xbff740719348a1e4216069b56698cb828d96938"/>
    <w:p>
      <w:pPr>
        <w:pStyle w:val="Heading2"/>
      </w:pPr>
      <w:r>
        <w:t xml:space="preserve">1.2. A Lei 4.591/64: Um Modelo de Transparência para Captação de Poupança Popular e Auto Financiamento</w:t>
      </w:r>
    </w:p>
    <w:p>
      <w:pPr>
        <w:pStyle w:val="FirstParagraph"/>
      </w:pPr>
      <w:r>
        <w:t xml:space="preserve">[ Análise da Lei 4.591/64 como um marco regulatório que formalizou a incorporação imobiliária, estabelecendo regras claras para a venda de imóveis na planta.] [ Exploração dos mecanismos de captação de poupança popular e autofinanciamento, onde o adquirente paga antecipadamente por um imóvel futuro.] [ Discussão sobre a alocação de riscos nesse modelo: o adquirente assume o risco de não entrega do imóvel, enquanto o incorporador busca minimizar seu capital próprio investido.] [ Análise dos incentivos econômicos criados pela nova regulamentação, incluindo a importância da transparência e publicidade para a viabilidade dos empreendimentos.]</w:t>
      </w:r>
    </w:p>
    <w:p>
      <w:pPr>
        <w:pStyle w:val="TextBody"/>
      </w:pPr>
      <w:r>
        <w:t xml:space="preserve">A promulgação da Lei 4.591/64 representou um marco importante na regulamentação do mercado imobiliário brasileiro, estabelecendo as bases para a atividade de incorporação imobiliária e formalizando um modelo de transparência e segurança jurídica que visava a captação de poupança popular e o autofinanciamento dos empreendimentos. Antes da sua implementação, as transações imobiliárias eram caracterizadas por uma informalidade que gerava insegurança para os adquirentes e incorporadores. Com a Lei 4.591/64, buscou-se corrigir essas falhas, estabelecendo regras claras para as partes envolvidas no processo de incorporação.</w:t>
      </w:r>
    </w:p>
    <w:p>
      <w:pPr>
        <w:pStyle w:val="TextBody"/>
      </w:pPr>
      <w:r>
        <w:t xml:space="preserve">A Lei 4.591/64 trouxe uma série de inovações que visavam organizar a atividade de incorporação imobiliária, proporcionando maior previsibilidade e segurança para os adquirentes e incorporadores. Entre os principais pontos da lei, destacam-se a definição clara do conceito de incorporação imobiliária e a exigência de registro dos empreendimentos no cartório de registro de imóveis. Essa formalização permitiu que os adquirentes tivessem acesso a informações mais detalhadas sobre o empreendimento antes de realizar a compra, reduzindo o risco de fraudes e aumentando a transparência do processo.</w:t>
      </w:r>
    </w:p>
    <w:p>
      <w:pPr>
        <w:pStyle w:val="TextBody"/>
      </w:pPr>
      <w:r>
        <w:t xml:space="preserve">Uma das principais características do modelo de incorporação estabelecido pela Lei 4.591/64 foi a possibilidade de captação de poupança popular para o financiamento das obras. Nesse modelo, os adquirentes assumiam o papel de financiadores do empreendimento, realizando pagamentos antecipados ao longo da construção do imóvel. Embora esse formato permitisse que muitas famílias brasileiras tivessem acesso à casa própria, ele também transferia uma parcela significativa dos riscos do empreendimento para os adquirentes, que ficavam expostos a eventuais problemas de solvência do incorporador ou atrasos na entrega das obras.</w:t>
      </w:r>
    </w:p>
    <w:p>
      <w:pPr>
        <w:pStyle w:val="TextBody"/>
      </w:pPr>
      <w:r>
        <w:t xml:space="preserve">Para mitigar esses riscos, a Lei 4.591/64 estabeleceu uma série de mecanismos de proteção para os adquirentes. Entre eles, destaca-se a obrigatoriedade de que os incorporadores apresentassem documentos que comprovassem a viabilidade do empreendimento, como o memorial de incorporação e as certidões negativas de débitos. Além disso, a lei exigia que os incorporadores prestassem contas aos adquirentes sobre a aplicação dos recursos captados, garantindo maior transparência no uso dos valores aportados pelos compradores.</w:t>
      </w:r>
    </w:p>
    <w:p>
      <w:pPr>
        <w:pStyle w:val="TextBody"/>
      </w:pPr>
      <w:r>
        <w:t xml:space="preserve">Outro ponto relevante da Lei 4.591/64 foi a criação da figura do condomínio de construção, que permitiu que os adquirentes tivessem uma maior participação e controle sobre o andamento das obras. Essa estrutura possibilitava que os adquirentes se organizassem coletivamente para acompanhar a execução do empreendimento e garantir que os recursos estivessem sendo aplicados de acordo com o planejado. Dessa forma, a lei buscou equilibrar a relação entre incorporadores e adquirentes, proporcionando maior segurança e confiança para ambas as partes.</w:t>
      </w:r>
    </w:p>
    <w:p>
      <w:pPr>
        <w:pStyle w:val="TextBody"/>
      </w:pPr>
      <w:r>
        <w:t xml:space="preserve">Além de estabelecer regras para a captação de recursos e para a transparência na execução dos empreendimentos, a Lei 4.591/64 também teve um papel importante na organização do mercado imobiliário como um todo. Ao criar um marco regulatório para as incorporações, a lei contribuiu para a profissionalização do setor, estimulando o surgimento de empresas especializadas na atividade de incorporação e atraindo novos investidores para o mercado imobiliário. Essa profissionalização foi fundamental para o crescimento do setor ao longo das décadas seguintes, permitindo que o mercado imobiliário se tornasse um importante motor de desenvolvimento econômico no Brasil.</w:t>
      </w:r>
    </w:p>
    <w:p>
      <w:pPr>
        <w:pStyle w:val="TextBody"/>
      </w:pPr>
      <w:r>
        <w:t xml:space="preserve">No entanto, apesar dos avanços proporcionados pela Lei 4.591/64, o modelo de captação de poupança popular e autofinanciamento apresentava limitações que se tornariam evidentes nas décadas seguintes. A falta de mecanismos mais robustos de proteção aos adquirentes e a dependência dos recursos antecipados pelos compradores faziam com que o risco do empreendimento recaísse majoritariamente sobre os adquirentes. Essa característica do modelo se mostrou problemática em momentos de crise econômica, quando muitos incorporadores enfrentaram dificuldades financeiras e não conseguiram concluir os empreendimentos, gerando prejuízos significativos para os adquirentes.</w:t>
      </w:r>
    </w:p>
    <w:p>
      <w:pPr>
        <w:pStyle w:val="TextBody"/>
      </w:pPr>
      <w:r>
        <w:t xml:space="preserve">Assim, embora a Lei 4.591/64 tenha representado um avanço importante na organização do mercado imobiliário brasileiro, o modelo de captação de poupança popular e autofinanciamento acabaria por revelar suas fragilidades, especialmente em períodos de instabilidade econômica. Essas limitações levariam, eventualmente, à necessidade de novas mudanças regulatórias, culminando na promulgação da Lei 10.931/04, que introduziu o conceito de patrimônio de afetação e buscou criar um ambiente mais seguro e sustentável para o desenvolvimento do mercado imobiliário. Nos tópicos seguintes, serão exploradas essas mudanças e seus impactos no setor.</w:t>
      </w:r>
    </w:p>
    <w:bookmarkEnd w:id="24"/>
    <w:bookmarkEnd w:id="25"/>
    <w:bookmarkStart w:id="26" w:name="X49e980ea9dda22e09750e02f478d9a012ab50b8"/>
    <w:p>
      <w:pPr>
        <w:pStyle w:val="Heading1"/>
      </w:pPr>
      <w:r>
        <w:t xml:space="preserve">1.3. Problemas de Falência de Incorporadoras no Final dos Anos 1990 e 2000: O Caso Encol e a Exaustão do Modelo da Lei 4.591/64</w:t>
      </w:r>
    </w:p>
    <w:p>
      <w:pPr>
        <w:pStyle w:val="FirstParagraph"/>
      </w:pPr>
      <w:r>
        <w:t xml:space="preserve">[ Estudo de casos de falências notórias, como a da Encol, para ilustrar as limitações do modelo original.]</w:t>
      </w:r>
    </w:p>
    <w:p>
      <w:pPr>
        <w:pStyle w:val="TextBody"/>
      </w:pPr>
      <w:r>
        <w:t xml:space="preserve">[ Discussão sobre como a dependência dos incorporadores de financiamento bancário e a falta de proteção robusta aos adquirentes levaram a uma crise de confiança no mercado.]</w:t>
      </w:r>
    </w:p>
    <w:p>
      <w:pPr>
        <w:pStyle w:val="TextBody"/>
      </w:pPr>
      <w:r>
        <w:t xml:space="preserve">[ Análise da exaustão do modelo da Lei 4.591/64 à medida que as famílias brasileiras não possuíam poupança suficiente para a pré-compra de imóveis, e o financiamento bancário se tornou necessário.]</w:t>
      </w:r>
    </w:p>
    <w:p>
      <w:pPr>
        <w:pStyle w:val="TextBody"/>
      </w:pPr>
      <w:r>
        <w:t xml:space="preserve">[Qual problema foi identificado:] [[Financiamento cruzado entre projetos do mesmo incorporador]] [[</w:t>
      </w:r>
      <w:r>
        <w:rPr>
          <w:iCs/>
          <w:i/>
        </w:rPr>
        <w:t xml:space="preserve">Credit rationing</w:t>
      </w:r>
      <w:r>
        <w:t xml:space="preserve"> </w:t>
      </w:r>
      <w:r>
        <w:t xml:space="preserve">dos bancos por falta de instrumentos adequados de protecao ao credito]]</w:t>
      </w:r>
    </w:p>
    <w:p>
      <w:pPr>
        <w:pStyle w:val="TextBody"/>
      </w:pPr>
      <w:r>
        <w:t xml:space="preserve">No final dos anos 1990 e início dos anos 2000, o mercado imobiliário brasileiro enfrentou uma série de desafios que evidenciaram as limitações do modelo de incorporação baseado na Lei 4.591/64. Um dos eventos mais marcantes desse período foi a falência da Encol, uma das maiores incorporadoras do Brasil, que se tornou um símbolo dos problemas estruturais enfrentados pelo setor. A falência da Encol expôs as fragilidades do modelo de captação de poupança popular e autofinanciamento, que transferia grande parte dos riscos do empreendimento para os adquirentes e dependia da capacidade financeira dos incorporadores para concluir as obras.</w:t>
      </w:r>
    </w:p>
    <w:p>
      <w:pPr>
        <w:pStyle w:val="TextBody"/>
      </w:pPr>
      <w:r>
        <w:t xml:space="preserve">A Encol, durante a década de 1990, foi responsável por uma grande quantidade de lançamentos imobiliários, utilizando-se do modelo de pré-venda para financiar suas obras. No entanto, a empresa acabou se envolvendo em um ciclo de financiamento cruzado entre projetos, no qual os recursos obtidos com a venda de unidades de um empreendimento eram utilizados para financiar outros projetos em andamento. Esse tipo de prática gerava um risco sistêmico elevado, pois a conclusão de um empreendimento dependia da continuidade das vendas de novos projetos. Quando as vendas começaram a desacelerar devido a fatores econômicos adversos, a Encol se viu sem recursos suficientes para concluir seus empreendimentos, levando à sua insolvência e deixando milhares de adquirentes sem os imóveis que haviam comprado.</w:t>
      </w:r>
    </w:p>
    <w:p>
      <w:pPr>
        <w:pStyle w:val="TextBody"/>
      </w:pPr>
      <w:r>
        <w:t xml:space="preserve">O caso Encol evidenciou a falta de mecanismos de proteção robustos para os adquirentes e a dependência excessiva do setor imobiliário de um ambiente econômico estável para funcionar de forma eficaz. A insolvência da empresa gerou uma crise de confiança no mercado imobiliário, com reflexos negativos tanto para os adquirentes quanto para os investidores e financiadores. Os adquirentes, que haviam financiado antecipadamente a construção de seus imóveis, acabaram arcando com prejuízos significativos, uma vez que não existiam garantias suficientes para assegurar a entrega das unidades em caso de falência do incorporador.</w:t>
      </w:r>
    </w:p>
    <w:p>
      <w:pPr>
        <w:pStyle w:val="TextBody"/>
      </w:pPr>
      <w:r>
        <w:t xml:space="preserve">Além disso, a crise da Encol revelou a insuficiência do modelo de captação de poupança popular em um contexto de crescente necessidade de financiamento bancário. Durante os anos 1990, a economia brasileira passou por um período de instabilidade, marcado por altas taxas de inflação e mudanças na política monetária. Esses fatores dificultaram o acesso ao crédito e aumentaram o custo dos financiamentos, tornando inviável para muitas famílias a aquisição de imóveis por meio do modelo de autofinanciamento. A escassez de recursos para financiar as obras fez com que muitos incorporadores recorressem ao financiamento cruzado entre projetos, aumentando o risco de insolvência em momentos de retração econômica.</w:t>
      </w:r>
    </w:p>
    <w:p>
      <w:pPr>
        <w:pStyle w:val="TextBody"/>
      </w:pPr>
      <w:r>
        <w:t xml:space="preserve">A falência da Encol também evidenciou a necessidade de maior fiscalização e transparência na aplicação dos recursos captados dos adquirentes. A ausência de mecanismos de controle sobre a utilização dos valores pagos pelos compradores permitia que os incorporadores utilizassem esses recursos de forma discricionária, muitas vezes desviando-os para outros fins ou utilizando-os para cobrir déficits de outros empreendimentos. Essa falta de transparência e controle foi um dos principais fatores que contribuíram para a crise de confiança no mercado e para o aumento dos riscos assumidos pelos adquirentes.</w:t>
      </w:r>
    </w:p>
    <w:p>
      <w:pPr>
        <w:pStyle w:val="TextBody"/>
      </w:pPr>
      <w:r>
        <w:t xml:space="preserve">Diante desses problemas, ficou claro que o modelo estabelecido pela Lei 4.591/64 precisava de reformulações para garantir maior segurança jurídica e financeira para todos os envolvidos no processo de incorporação. A crise da Encol e de outras incorporadoras no final dos anos 1990 levou à constatação de que era necessário criar mecanismos que separassem os recursos dos adquirentes dos demais ativos dos incorporadores, de forma a proteger os interesses dos compradores e assegurar a conclusão dos empreendimentos. Foi nesse contexto que surgiram as discussões que culminariam na promulgação da Lei 10.931/04, que introduziu o conceito de patrimônio de afetação.</w:t>
      </w:r>
    </w:p>
    <w:p>
      <w:pPr>
        <w:pStyle w:val="TextBody"/>
      </w:pPr>
      <w:r>
        <w:t xml:space="preserve">O patrimônio de afetação surgiu como uma resposta às falhas evidenciadas pela crise da Encol, buscando criar um ambiente de maior proteção para os adquirentes e financiadores dos empreendimentos imobiliários. Esse mecanismo permitiu que os recursos destinados a um determinado projeto fossem segregados dos demais ativos do incorporador, garantindo que eles fossem utilizados exclusivamente na execução do empreendimento ao qual se destinavam. Dessa forma, buscou-se evitar o financiamento cruzado entre projetos e reduzir o risco de inadimplemento em caso de dificuldades financeiras enfrentadas pelo incorporador.</w:t>
      </w:r>
    </w:p>
    <w:p>
      <w:pPr>
        <w:pStyle w:val="TextBody"/>
      </w:pPr>
      <w:r>
        <w:t xml:space="preserve">Assim, o caso Encol e as falências de outras incorporadoras no final dos anos 1990 e 2000 representaram um ponto de inflexão para o mercado imobiliário brasileiro. A exaustão do modelo de captação de poupança popular e autofinanciamento evidenciou a necessidade de mudanças estruturais no setor, que foram parcialmente atendidas pela Lei 10.931/04 e pela introdução do patrimônio de afetação. Essas mudanças buscaram criar um ambiente mais seguro e sustentável para o desenvolvimento do mercado imobiliário, equilibrando os interesses dos incorporadores, adquirentes e financiadores e promovendo maior confiança e transparência no setor.</w:t>
      </w:r>
    </w:p>
    <w:bookmarkEnd w:id="26"/>
    <w:bookmarkStart w:id="29" w:name="X0394d6fd08f1ec5f60941d8d3f098c467691710"/>
    <w:p>
      <w:pPr>
        <w:pStyle w:val="Heading1"/>
      </w:pPr>
      <w:r>
        <w:t xml:space="preserve">2. A Lei de Incorporação Modificada (2004 até o Presente) - O Patrimônio de Afetação e a Nova Era de Proteção e Sustentabilidade</w:t>
      </w:r>
    </w:p>
    <w:p>
      <w:pPr>
        <w:pStyle w:val="FirstParagraph"/>
      </w:pPr>
      <w:r>
        <w:t xml:space="preserve">A […].</w:t>
      </w:r>
    </w:p>
    <w:bookmarkStart w:id="27" w:name="X7dcf9aaa62b47e41ec22803156195068c3b5d4d"/>
    <w:p>
      <w:pPr>
        <w:pStyle w:val="Heading2"/>
      </w:pPr>
      <w:r>
        <w:t xml:space="preserve">2.1. Origens da Lei 10.931/04: Contribuições de Melhim Chalhub e a Evolução Regulamentar</w:t>
      </w:r>
    </w:p>
    <w:p>
      <w:pPr>
        <w:pStyle w:val="FirstParagraph"/>
      </w:pPr>
      <w:r>
        <w:t xml:space="preserve">[ Discussão sobre o contexto e as motivações que levaram à criação da Lei 10.931/04, com ênfase nas contribuições de especialistas como Melhim Chalhub.] [ Análise das falhas do modelo anterior que impulsionaram a necessidade de uma mudança legislativa para maior proteção aos adquirentes e financiadores.]</w:t>
      </w:r>
    </w:p>
    <w:p>
      <w:pPr>
        <w:pStyle w:val="TextBody"/>
      </w:pPr>
      <w:r>
        <w:t xml:space="preserve">A promulgação da Lei 10.931/04 representou um marco importante para o setor imobiliário brasileiro, trazendo mudanças significativas que visavam aprimorar o modelo de incorporação e assegurar uma maior proteção aos adquirentes e financiadores dos empreendimentos. O contexto para a criação dessa nova regulamentação foi marcado pelos problemas e limitações evidenciados nos anos 1990, particularmente com o colapso da Encol, que destacou a necessidade de um mecanismo que segregasse os recursos dos adquirentes dos demais ativos dos incorporadores. O conceito de patrimônio de afetação surgiu como uma solução para esses problemas, buscando criar uma estrutura que garantisse que os recursos aportados pelos adquirentes fossem utilizados exclusivamente na conclusão dos empreendimentos.</w:t>
      </w:r>
    </w:p>
    <w:p>
      <w:pPr>
        <w:pStyle w:val="TextBody"/>
      </w:pPr>
      <w:r>
        <w:t xml:space="preserve">Um dos principais responsáveis pela formulação do conceito de patrimônio de afetação foi o advogado Melhim Chalhub, que teve um papel fundamental na elaboração da nova legislação. Chalhub defendeu a necessidade de uma regulamentação que protegesse os interesses dos adquirentes e que criasse condições para que o mercado imobiliário pudesse se desenvolver de forma mais segura e sustentável. O patrimônio de afetação foi idealizado como um mecanismo para garantir que os recursos financeiros destinados a um determinado empreendimento fossem segregados dos demais ativos do incorporador, de modo a evitar práticas como o financiamento cruzado entre projetos e garantir a conclusão das obras.</w:t>
      </w:r>
    </w:p>
    <w:p>
      <w:pPr>
        <w:pStyle w:val="TextBody"/>
      </w:pPr>
      <w:r>
        <w:t xml:space="preserve">A Lei 10.931/04 introduziu mudanças importantes na Lei 4.591/64, criando novos instrumentos de proteção e fortalecendo a segurança jurídica das operações de incorporação imobiliária. Além do patrimônio de afetação, a lei também estabeleceu a figura do agente fiduciário, responsável por fiscalizar a aplicação dos recursos e garantir que o incorporador estivesse cumprindo com suas obrigações. Esse agente fiduciário tinha como função principal assegurar que os recursos captados dos adquirentes fossem aplicados de acordo com o planejado, aumentando a transparência e reduzindo os riscos de desvio de recursos.</w:t>
      </w:r>
    </w:p>
    <w:p>
      <w:pPr>
        <w:pStyle w:val="TextBody"/>
      </w:pPr>
      <w:r>
        <w:t xml:space="preserve">As contribuições de Melhim Chalhub e de outros especialistas foram fundamentais para a construção de um arcabouço regulatório mais robusto, que buscava equilibrar os interesses dos diferentes agentes envolvidos no processo de incorporação imobiliária. A Lei 10.931/04 representou um avanço importante na busca por um mercado mais seguro e sustentável, promovendo maior confiança tanto por parte dos adquirentes quanto dos investidores e financiadores. Essa confiança foi essencial para a retomada do crescimento do setor imobiliário a partir dos anos 2000, permitindo que o mercado se expandisse e atraísse novos investimentos.</w:t>
      </w:r>
    </w:p>
    <w:p>
      <w:pPr>
        <w:pStyle w:val="TextBody"/>
      </w:pPr>
      <w:r>
        <w:t xml:space="preserve">A introdução do patrimônio de afetação também teve um impacto significativo na relação entre incorporadores e financiadores. Ao criar uma estrutura que segregava os recursos dos empreendimentos, a lei reduziu o risco de inadimplência e aumentou a segurança dos financiadores, que passaram a ter maior confiança em conceder crédito para o setor imobiliário. Isso resultou em uma maior disponibilidade de financiamento para os projetos de incorporação, o que foi fundamental para o crescimento do setor ao longo das décadas seguintes</w:t>
      </w:r>
    </w:p>
    <w:bookmarkEnd w:id="27"/>
    <w:bookmarkStart w:id="28" w:name="X36b7c1d6ad3a0119bf27167e96e0232baa2ddbf"/>
    <w:p>
      <w:pPr>
        <w:pStyle w:val="Heading2"/>
      </w:pPr>
      <w:r>
        <w:t xml:space="preserve">2.2. A Dualidade da Lei 10.931/04: Alterações na Lei 4.591/64 e Novos Instrumentos de Financiamento</w:t>
      </w:r>
    </w:p>
    <w:p>
      <w:pPr>
        <w:pStyle w:val="FirstParagraph"/>
      </w:pPr>
      <w:r>
        <w:t xml:space="preserve">[ Exploração de como a Lei 10.931/04 não apenas alterou a Lei 4.591/64, introduzindo o conceito de patrimônio de afetação, mas também criou novos instrumentos de financiamento para o mercado imobiliário.] [ Análise de como essas mudanças complementaram a Lei do Sistema Financeiro Imobiliário (SFI) e promoveram um ambiente de maior segurança jurídica e financeira.]</w:t>
      </w:r>
    </w:p>
    <w:p>
      <w:pPr>
        <w:pStyle w:val="TextBody"/>
      </w:pPr>
      <w:r>
        <w:t xml:space="preserve">A Lei 10.931/04 trouxe uma série de alterações significativas na Lei 4.591/64, introduzindo novos mecanismos de proteção e criando instrumentos que visavam garantir maior segurança jurídica e financeira para os envolvidos no processo de incorporação imobiliária. Além do patrimônio de afetação, que se tornou um dos principais pilares da nova regulamentação, a lei também introduziu outros mecanismos que visavam fortalecer o mercado e assegurar que os empreendimentos fossem concluídos de acordo com o planejado.</w:t>
      </w:r>
    </w:p>
    <w:p>
      <w:pPr>
        <w:pStyle w:val="TextBody"/>
      </w:pPr>
      <w:r>
        <w:t xml:space="preserve">Uma das principais alterações trazidas pela Lei 10.931/04 foi a criação do regime de afetação, que permitiu que os incorporadores optassem por segregar os ativos de um determinado empreendimento dos demais bens e recursos da empresa. Essa segregação tinha como objetivo garantir que os recursos aportados pelos adquirentes fossem utilizados exclusivamente na execução do empreendimento ao qual se destinavam, evitando o financiamento cruzado entre projetos e protegendo os interesses dos adquirentes. Além disso, o regime de afetação permitiu que os incorporadores tivessem acesso a linhas de crédito específicas, com condições mais favoráveis, uma vez que os financiadores tinham maior segurança de que os recursos seriam aplicados corretamente.</w:t>
      </w:r>
    </w:p>
    <w:p>
      <w:pPr>
        <w:pStyle w:val="TextBody"/>
      </w:pPr>
      <w:r>
        <w:t xml:space="preserve">Outro instrumento importante introduzido pela Lei 10.931/04 foi a possibilidade de emissão de Certificados de Recebíveis Imobiliários (CRIs), que se tornaram uma ferramenta fundamental para o financiamento dos empreendimentos imobiliários. Os CRIs permitiram que os incorporadores captassem recursos no mercado de capitais, utilizando os fluxos de recebíveis dos empreendimentos como lastro para a emissão dos certificados. Essa inovação foi essencial para diversificar as fontes de financiamento do setor imobiliário, reduzindo a dependência dos incorporadores em relação ao crédito bancário e aumentando a disponibilidade de recursos para a construção de novos empreendimentos.</w:t>
      </w:r>
    </w:p>
    <w:p>
      <w:pPr>
        <w:pStyle w:val="TextBody"/>
      </w:pPr>
      <w:r>
        <w:t xml:space="preserve">Além dos CRIs, a Lei 10.931/04 também introduziu a figura do agente fiduciário, que tinha como função fiscalizar a aplicação dos recursos captados dos adquirentes e garantir que o incorporador estivesse cumprindo com suas obrigações. O agente fiduciário era responsável por assegurar que os recursos fossem aplicados de acordo com o planejamento do empreendimento, aumentando a transparência e reduzindo os riscos de desvio de recursos. Esse mecanismo foi fundamental para aumentar a confiança dos adquirentes e financiadores no mercado imobiliário, contribuindo para o crescimento e a sustentabilidade do setor.</w:t>
      </w:r>
    </w:p>
    <w:p>
      <w:pPr>
        <w:pStyle w:val="TextBody"/>
      </w:pPr>
      <w:r>
        <w:t xml:space="preserve">A dualidade da Lei 10.931/04 se manifestou na sua capacidade de fortalecer a proteção aos adquirentes, ao mesmo tempo em que criava novas oportunidades de financiamento para os incorporadores. Ao introduzir o patrimônio de afetação e os CRIs, a lei buscou equilibrar os interesses dos diferentes agentes envolvidos no processo de incorporação, promovendo maior segurança jurídica e financeira para todos os envolvidos. Essa abordagem permitiu que o mercado imobiliário brasileiro se desenvolvesse de forma mais sustentável, atraindo novos investidores e contribuindo para o crescimento econômico do país</w:t>
      </w:r>
    </w:p>
    <w:bookmarkEnd w:id="28"/>
    <w:bookmarkEnd w:id="29"/>
    <w:bookmarkStart w:id="30" w:name="X33bc969ea7765cf822b822d812808033b3d81a5"/>
    <w:p>
      <w:pPr>
        <w:pStyle w:val="Heading1"/>
      </w:pPr>
      <w:r>
        <w:t xml:space="preserve">2.3. A Dinâmica do Patrimônio de Afetação: Proteção aos Financiadores e, Subsequentemente, aos Clientes</w:t>
      </w:r>
    </w:p>
    <w:p>
      <w:pPr>
        <w:pStyle w:val="FirstParagraph"/>
      </w:pPr>
      <w:r>
        <w:t xml:space="preserve">[ Explicação detalhada sobre o funcionamento do patrimônio de afetação, que separa os ativos do projeto dos ativos do incorporador.] [ Análise de como essa separação protege os financiadores inicialmente e, posteriormente, também os adquirentes, ao garantir que os recursos do projeto não sejam desviados para outras finalidades.] [ Discussão sobre o impacto desta mudança na confiança do mercado e na atração de novos investimentos para o setor.]</w:t>
      </w:r>
    </w:p>
    <w:p>
      <w:pPr>
        <w:pStyle w:val="TextBody"/>
      </w:pPr>
      <w:r>
        <w:t xml:space="preserve">O patrimônio de afetação, introduzido pela Lei 10.931/04, trouxe uma mudança significativa na dinâmica dos empreendimentos imobiliários, criando um mecanismo que visava proteger os interesses tanto dos financiadores quanto dos adquirentes. Ao segregar os ativos de um determinado empreendimento dos demais bens e recursos do incorporador, o patrimônio de afetação garantiu que os recursos aportados fossem utilizados exclusivamente na conclusão do empreendimento, reduzindo o risco de inadimplência e aumentando a segurança dos envolvidos no processo.</w:t>
      </w:r>
    </w:p>
    <w:p>
      <w:pPr>
        <w:pStyle w:val="TextBody"/>
      </w:pPr>
      <w:r>
        <w:t xml:space="preserve">Inicialmente, o principal objetivo do patrimônio de afetação era proteger os financiadores dos empreendimentos, garantindo que os recursos destinados a um determinado projeto não fossem desviados para outros fins. Essa segregação dos ativos proporcionou maior segurança para os financiadores, que passaram a ter maior confiança em conceder crédito para os empreendimentos imobiliários. Com a introdução do patrimônio de afetação, os financiadores tinham a garantia de que os recursos seriam aplicados exclusivamente na execução do empreendimento, o que reduzia o risco de inadimplência e aumentava a previsibilidade dos projetos.</w:t>
      </w:r>
    </w:p>
    <w:p>
      <w:pPr>
        <w:pStyle w:val="TextBody"/>
      </w:pPr>
      <w:r>
        <w:t xml:space="preserve">No entanto, a proteção proporcionada pelo patrimônio de afetação não se limitou aos financiadores. Com o tempo, ficou evidente que esse mecanismo também beneficiava os adquirentes dos imóveis, que passaram a ter maior segurança de que os recursos aportados na compra das unidades seriam utilizados de forma adequada. A segregação dos ativos garantiu que os adquirentes não seriam prejudicados em caso de dificuldades financeiras enfrentadas pelo incorporador, uma vez que os recursos destinados ao empreendimento estariam protegidos e não poderiam ser utilizados para cobrir déficits de outros projetos.</w:t>
      </w:r>
    </w:p>
    <w:p>
      <w:pPr>
        <w:pStyle w:val="TextBody"/>
      </w:pPr>
      <w:r>
        <w:t xml:space="preserve">A dinâmica do patrimônio de afetação também permitiu uma maior transparência na execução dos empreendimentos, uma vez que os recursos destinados ao projeto precisavam ser utilizados de acordo com o planejamento aprovado. Isso aumentou a confiança dos adquirentes no mercado imobiliário, uma vez que eles passaram a ter maior previsibilidade sobre a conclusão das obras e sobre a aplicação dos recursos aportados. Além disso, a figura do agente fiduciário, responsável por fiscalizar a aplicação dos recursos, garantiu que os incorporadores cumprissem com suas obrigações e que os adquirentes tivessem acesso a informações claras e precisas sobre o andamento do empreendimento.</w:t>
      </w:r>
    </w:p>
    <w:p>
      <w:pPr>
        <w:pStyle w:val="TextBody"/>
      </w:pPr>
      <w:r>
        <w:t xml:space="preserve">O patrimônio de afetação, portanto, desempenhou um papel fundamental na construção de um mercado imobiliário mais seguro e transparente, beneficiando tanto os financiadores quanto os adquirentes dos empreendimentos. Ao garantir que os recursos destinados a um determinado projeto fossem utilizados exclusivamente na sua execução, o patrimônio de afetação reduziu os riscos envolvidos no processo de incorporação e promoveu maior confiança entre os diferentes agentes do mercado. Essa maior segurança foi essencial para o crescimento do setor imobiliário a partir dos anos 2000, permitindo que o mercado se expandisse de forma sustentável e atraísse novos investimentos.</w:t>
      </w:r>
    </w:p>
    <w:p>
      <w:pPr>
        <w:pStyle w:val="TextBody"/>
      </w:pPr>
      <w:r>
        <w:t xml:space="preserve">Além disso, o patrimônio de afetação contribuiu para a profissionalização do setor, uma vez que os incorporadores precisavam cumprir com uma série de requisitos legais e prestar contas sobre a aplicação dos recursos. Essa maior exigência de transparência e de cumprimento das obrigações legais contribuiu para a elevação dos padrões do mercado imobiliário brasileiro, estimulando a adoção de boas práticas e promovendo um ambiente mais seguro e previsível para todos os envolvidos.</w:t>
      </w:r>
    </w:p>
    <w:p>
      <w:pPr>
        <w:pStyle w:val="TextBody"/>
      </w:pPr>
      <w:r>
        <w:t xml:space="preserve">Assim, a dinâmica do patrimônio de afetação, ao proteger tanto os financiadores quanto os adquirentes, representou um avanço importante para o mercado imobiliário brasileiro, criando as bases para um ambiente de maior confiança e sustentabilidade. Esse mecanismo foi fundamental para o desenvolvimento do setor ao longo das últimas décadas, contribuindo para a consolidação do mercado imobiliário como um importante motor de crescimento econômico no Brasil.</w:t>
      </w:r>
    </w:p>
    <w:bookmarkEnd w:id="30"/>
    <w:bookmarkStart w:id="34" w:name="X328a0cd2eb2463b29d83ac3ae7a0273171db0fc"/>
    <w:p>
      <w:pPr>
        <w:pStyle w:val="Heading1"/>
      </w:pPr>
      <w:r>
        <w:t xml:space="preserve">3. Reflexões e Perspectivas Futuras - Em Busca de um Mercado Equilibrado e Sustentável</w:t>
      </w:r>
    </w:p>
    <w:bookmarkStart w:id="31" w:name="Xf84a67a10737c8b976248ef7682b60e2fb1a725"/>
    <w:p>
      <w:pPr>
        <w:pStyle w:val="Heading2"/>
      </w:pPr>
      <w:r>
        <w:t xml:space="preserve">3.1. Análise do Estado Atual do Mercado e as Lições Aprendidas</w:t>
      </w:r>
    </w:p>
    <w:p>
      <w:pPr>
        <w:pStyle w:val="FirstParagraph"/>
      </w:pPr>
      <w:r>
        <w:t xml:space="preserve">[ Reflexão sobre o impacto das mudanças regulatórias nas práticas de incorporação imobiliária e na confiança do consumidor.] [ Discussão sobre a evolução da regulação e a eficácia das medidas de proteção introduzidas até o momento.]</w:t>
      </w:r>
    </w:p>
    <w:p>
      <w:pPr>
        <w:pStyle w:val="TextBody"/>
      </w:pPr>
      <w:r>
        <w:t xml:space="preserve">O mercado imobiliário brasileiro, ao longo das últimas décadas, passou por uma evolução significativa em termos de regulamentação, transparência e segurança jurídica. As mudanças introduzidas pela Lei 4.591/64 e, posteriormente, pela Lei 10.931/04, transformaram a forma como os empreendimentos imobiliários são concebidos, financiados e entregues, estabelecendo um arcabouço regulatório que visa proteger os interesses dos diferentes agentes envolvidos no processo. No entanto, o cenário atual ainda apresenta desafios que precisam ser enfrentados para garantir um mercado imobiliário mais equilibrado e sustentável.</w:t>
      </w:r>
    </w:p>
    <w:p>
      <w:pPr>
        <w:pStyle w:val="TextBody"/>
      </w:pPr>
      <w:r>
        <w:t xml:space="preserve">Uma das principais lições aprendidas com a evolução do mercado imobiliário no Brasil é a importância da transparência e da segregação dos recursos para assegurar a proteção dos adquirentes e financiadores. A introdução do patrimônio de afetação foi um grande avanço na mitigação dos riscos associados à falência dos incorporadores, proporcionando maior segurança aos compradores de imóveis na planta e aos financiadores. Esse mecanismo ajudou a restaurar a confiança no mercado, contribuindo para a retomada do crescimento do setor a partir dos anos 2000.</w:t>
      </w:r>
    </w:p>
    <w:p>
      <w:pPr>
        <w:pStyle w:val="TextBody"/>
      </w:pPr>
      <w:r>
        <w:t xml:space="preserve">No entanto, apesar desses avanços, o mercado imobiliário brasileiro ainda enfrenta desafios estruturais. Um dos principais problemas é a complexidade regulatória e o custo elevado de conformidade. A burocracia envolvida no cumprimento das obrigações legais para a incorporação imobiliária pode ser um obstáculo para pequenos e médios incorporadores, que muitas vezes não têm a mesma capacidade financeira e administrativa dos grandes players do setor. Esse aspecto acaba limitando a competitividade e a diversidade no mercado, restringindo a oferta de novas unidades habitacionais, especialmente para a população de baixa renda.</w:t>
      </w:r>
    </w:p>
    <w:p>
      <w:pPr>
        <w:pStyle w:val="TextBody"/>
      </w:pPr>
      <w:r>
        <w:t xml:space="preserve">Outro desafio atual é o acesso ao financiamento. Embora a introdução dos Certificados de Recebíveis Imobiliários (CRIs) tenha diversificado as fontes de recursos para o setor, o crédito imobiliário ainda é caro e muitas vezes inacessível para parte significativa da população brasileira. As taxas de juros elevadas e as exigências de garantias dificultam o acesso ao financiamento para a aquisição da casa própria, especialmente em um contexto de incerteza econômica e inflação elevada. A superação desse obstáculo é essencial para garantir a continuidade do crescimento do mercado e atender à demanda habitacional do país.</w:t>
      </w:r>
    </w:p>
    <w:p>
      <w:pPr>
        <w:pStyle w:val="TextBody"/>
      </w:pPr>
      <w:r>
        <w:t xml:space="preserve">Adicionalmente, o mercado imobiliário enfrenta desafios relacionados à sustentabilidade. A preocupação com a sustentabilidade ambiental tem crescido nos últimos anos, e o setor imobiliário precisa se adaptar para atender às novas demandas de consumidores e investidores por empreendimentos mais sustentáveis e eficientes em termos energéticos. Essa mudança requer não apenas um compromisso maior dos incorporadores com práticas sustentáveis, mas também incentivos regulatórios e financeiros que estimulem a adoção de soluções inovadoras e ambientalmente responsáveis.</w:t>
      </w:r>
    </w:p>
    <w:p>
      <w:pPr>
        <w:pStyle w:val="TextBody"/>
      </w:pPr>
      <w:r>
        <w:t xml:space="preserve">Em resumo, o mercado imobiliário brasileiro evoluiu significativamente nas últimas décadas, mas ainda enfrenta desafios importantes. A experiência passada mostrou que a regulamentação e a transparência são essenciais para garantir a segurança dos diferentes agentes envolvidos e promover um ambiente de confiança. No entanto, para que o mercado continue a se desenvolver de forma equilibrada e sustentável, é necessário enfrentar questões como a complexidade regulatória, o acesso ao financiamento e a sustentabilidade dos empreendimentos. Essas são áreas que demandam atenção contínua e aprimoramento das políticas públicas para garantir um mercado imobiliário saudável e inclusivo</w:t>
      </w:r>
    </w:p>
    <w:bookmarkEnd w:id="31"/>
    <w:bookmarkStart w:id="32" w:name="Xbdc6c1f9a22dae241005e65d80bdf9b8755e9d1"/>
    <w:p>
      <w:pPr>
        <w:pStyle w:val="Heading2"/>
      </w:pPr>
      <w:r>
        <w:t xml:space="preserve">3.2. Desafios Atuais e Potenciais Reformas Futuras**</w:t>
      </w:r>
    </w:p>
    <w:p>
      <w:pPr>
        <w:pStyle w:val="FirstParagraph"/>
      </w:pPr>
      <w:r>
        <w:t xml:space="preserve">[ Identificação dos desafios atuais enfrentados pelo mercado, incluindo questões de transparência, financiamento, e proteção ao consumidor.] [ Análise das possíveis reformas futuras que poderiam fortalecer ainda mais o mercado e equilibrar os interesses de incorporadores, financiadores e adquirentes.]</w:t>
      </w:r>
    </w:p>
    <w:p>
      <w:pPr>
        <w:pStyle w:val="TextBody"/>
      </w:pPr>
      <w:r>
        <w:t xml:space="preserve">O mercado imobiliário brasileiro enfrenta atualmente uma série de desafios que, se não forem enfrentados adequadamente, podem comprometer o seu desenvolvimento sustentável. Um dos principais desafios é a falta de acesso ao crédito, que afeta tanto os incorporadores quanto os adquirentes. Para superar esse obstáculo, é necessário implementar reformas que ampliem a disponibilidade de crédito e reduzam as taxas de juros, tornando o financiamento mais acessível para um maior número de famílias. Uma possível reforma seria a criação de incentivos fiscais para instituições financeiras que ofereçam crédito imobiliário a taxas mais baixas, especialmente para projetos voltados para a habitação popular.</w:t>
      </w:r>
    </w:p>
    <w:p>
      <w:pPr>
        <w:pStyle w:val="TextBody"/>
      </w:pPr>
      <w:r>
        <w:t xml:space="preserve">Outro desafio importante é a burocracia e a complexidade do processo de incorporação imobiliária no Brasil. As exigências regulatórias são muitas vezes excessivas, o que aumenta o custo e o tempo necessário para a aprovação de novos empreendimentos. Reformas que visem simplificar e desburocratizar o processo de aprovação de projetos, sem comprometer a segurança jurídica e a proteção dos adquirentes, são essenciais para estimular a atividade no setor. A digitalização dos processos de licenciamento e a integração de diferentes órgãos reguladores poderiam contribuir significativamente para a redução da burocracia e o aumento da eficiência.</w:t>
      </w:r>
    </w:p>
    <w:p>
      <w:pPr>
        <w:pStyle w:val="TextBody"/>
      </w:pPr>
      <w:r>
        <w:t xml:space="preserve">Além disso, o mercado imobiliário precisa se adaptar às novas exigências de sustentabilidade e eficiência energética. A crescente demanda por empreendimentos sustentáveis, que utilizem fontes renováveis de energia e tecnologias que reduzam o consumo de recursos naturais, é uma tendência que veio para ficar. Para estimular essa transformação, o governo poderia adotar políticas de incentivo, como isenções fiscais ou linhas de crédito diferenciadas para projetos que adotem práticas de construção sustentável. Essas medidas não apenas ajudariam a proteger o meio ambiente, mas também poderiam agregar valor aos empreendimentos e atrair um perfil de consumidor cada vez mais consciente e preocupado com questões ambientais.</w:t>
      </w:r>
    </w:p>
    <w:p>
      <w:pPr>
        <w:pStyle w:val="TextBody"/>
      </w:pPr>
      <w:r>
        <w:t xml:space="preserve">A governança corporativa no setor imobiliário também merece atenção. A transparência na gestão dos empreendimentos e a proteção dos direitos dos adquirentes devem ser continuamente aprimoradas. A criação de mecanismos que incentivem a adoção de boas práticas de governança corporativa, como auditorias independentes e a divulgação periódica de informações financeiras e operacionais dos empreendimentos, pode ajudar a reduzir os riscos de conflitos de agência e aumentar a confiança dos investidores e adquirentes no mercado.</w:t>
      </w:r>
    </w:p>
    <w:p>
      <w:pPr>
        <w:pStyle w:val="TextBody"/>
      </w:pPr>
      <w:r>
        <w:t xml:space="preserve">Por fim, a modernização do marco regulatório também deve ser considerada. A legislação precisa acompanhar as mudanças tecnológicas e as novas demandas do mercado. A implementação de tecnologias como blockchain, por exemplo, poderia contribuir para aumentar a transparência e a segurança nas transações imobiliárias, reduzindo o risco de fraudes e simplificando o processo de registro de imóveis. Reformas que incentivem o uso de tecnologias emergentes podem tornar o setor imobiliário mais eficiente, seguro e acessível para todos.</w:t>
      </w:r>
    </w:p>
    <w:p>
      <w:pPr>
        <w:pStyle w:val="TextBody"/>
      </w:pPr>
      <w:r>
        <w:t xml:space="preserve">Em resumo, o mercado imobiliário brasileiro enfrenta desafios significativos que exigem reformas estruturais para garantir seu crescimento sustentável. A ampliação do acesso ao crédito, a desburocratização dos processos de incorporação, a promoção da sustentabilidade, o fortalecimento da governança corporativa e a modernização do marco regulatório são medidas fundamentais para enfrentar esses desafios e criar um ambiente mais favorável para o desenvolvimento do setor nos próximos anos.</w:t>
      </w:r>
    </w:p>
    <w:bookmarkEnd w:id="32"/>
    <w:bookmarkStart w:id="33" w:name="X603915c7e3d1051ec7c5a3e334f200cac959019"/>
    <w:p>
      <w:pPr>
        <w:pStyle w:val="Heading2"/>
      </w:pPr>
      <w:r>
        <w:t xml:space="preserve">3.3. Impacto das Novas Tecnologias e Macro-tendências Econômicas</w:t>
      </w:r>
    </w:p>
    <w:p>
      <w:pPr>
        <w:pStyle w:val="FirstParagraph"/>
      </w:pPr>
      <w:r>
        <w:t xml:space="preserve">[ Discussão sobre o papel das novas tecnologias, como blockchain e inteligência artificial, na transformação das práticas de incorporação e na transparência do mercado.] [ Reflexão sobre como macro-tendências econômicas, como a inflação e as taxas de juros, podem impactar o futuro da incorporação imobiliária.]</w:t>
      </w:r>
    </w:p>
    <w:p>
      <w:pPr>
        <w:pStyle w:val="TextBody"/>
      </w:pPr>
      <w:r>
        <w:t xml:space="preserve">As novas tecnologias e as macro-tendências econômicas estão transformando profundamente o mercado imobiliário brasileiro. A adoção de tecnologias digitais, como a inteligência artificial (IA), o blockchain e a internet das coisas (IoT), tem o potencial de revolucionar a forma como os empreendimentos são planejados, construídos e comercializados, aumentando a eficiência, a transparência e a segurança em todas as etapas do processo de incorporação imobiliária.</w:t>
      </w:r>
    </w:p>
    <w:p>
      <w:pPr>
        <w:pStyle w:val="TextBody"/>
      </w:pPr>
      <w:r>
        <w:t xml:space="preserve">A inteligência artificial, por exemplo, pode ser utilizada para otimizar o planejamento dos empreendimentos, analisando grandes volumes de dados para identificar as melhores localizações e prever a demanda por novos projetos. Além disso, a IA pode ser usada para personalizar a experiência dos compradores, oferecendo recomendações de imóveis que atendam às suas preferências e necessidades específicas. A automação de processos internos, como o atendimento ao cliente e a análise de crédito, também pode contribuir para aumentar a eficiência operacional dos incorporadores e reduzir custos.</w:t>
      </w:r>
    </w:p>
    <w:p>
      <w:pPr>
        <w:pStyle w:val="TextBody"/>
      </w:pPr>
      <w:r>
        <w:t xml:space="preserve">O blockchain, por sua vez, tem o potencial de transformar a forma como as transações imobiliárias são realizadas. Essa tecnologia permite a criação de registros digitais imutáveis e seguros, que podem ser utilizados para documentar todas as etapas de uma transação imobiliária, desde a assinatura do contrato até o registro do imóvel. Isso aumenta a transparência e reduz o risco de fraudes, além de simplificar o processo de registro de imóveis, que atualmente é burocrático e sujeito a erros. A implementação de contratos inteligentes (smart contracts) também pode facilitar o cumprimento das obrigações contratuais, automatizando pagamentos e transferências de propriedade de forma segura e eficiente.</w:t>
      </w:r>
    </w:p>
    <w:p>
      <w:pPr>
        <w:pStyle w:val="TextBody"/>
      </w:pPr>
      <w:r>
        <w:t xml:space="preserve">A internet das coisas (IoT) está impactando a forma como os empreendimentos imobiliários são projetados e utilizados. A integração de dispositivos inteligentes nos edifícios, como sensores de consumo de energia e sistemas automatizados de controle de temperatura, está tornando os empreendimentos mais eficientes e sustentáveis. Além disso, a IoT permite que os moradores tenham maior controle sobre o ambiente em que vivem, proporcionando maior conforto e conveniência. Essas inovações agregam valor aos empreendimentos e atendem às demandas de um perfil de consumidor cada vez mais conectado e exigente.</w:t>
      </w:r>
    </w:p>
    <w:p>
      <w:pPr>
        <w:pStyle w:val="TextBody"/>
      </w:pPr>
      <w:r>
        <w:t xml:space="preserve">As macro-tendências econômicas também estão desempenhando um papel importante na definição do futuro do mercado imobiliário. A inflação e as taxas de juros, por exemplo, afetam diretamente o custo do crédito e a demanda por imóveis. Em um ambiente de altas taxas de juros, o acesso ao financiamento se torna mais caro, o que pode restringir a capacidade das famílias de adquirir um imóvel e limitar o crescimento do setor. Por outro lado, em um cenário de juros baixos, o mercado imobiliário tende a se beneficiar do aumento da demanda por crédito e da maior disposição dos investidores em buscar alternativas de rentabilidade, como os investimentos em imóveis.</w:t>
      </w:r>
    </w:p>
    <w:p>
      <w:pPr>
        <w:pStyle w:val="TextBody"/>
      </w:pPr>
      <w:r>
        <w:t xml:space="preserve">Além disso, a mudança nos padrões de comportamento dos consumidores, impulsionada pela pandemia de COVID-19, trouxe novas demandas para o mercado imobiliário. A busca por imóveis que ofereçam maior qualidade de vida, como espaços maiores, áreas verdes e infraestrutura para home office, se intensificou nos últimos anos. Essa mudança de comportamento está influenciando o planejamento dos novos empreendimentos, que precisam se adaptar para atender às novas preferências dos consumidores.</w:t>
      </w:r>
    </w:p>
    <w:p>
      <w:pPr>
        <w:pStyle w:val="TextBody"/>
      </w:pPr>
      <w:r>
        <w:t xml:space="preserve">Em conclusão, as novas tecnologias e as macro-tendências econômicas estão moldando o futuro do mercado imobiliário brasileiro, trazendo tanto oportunidades quanto desafios. A adoção de tecnologias digitais pode aumentar a eficiência, a transparência e a segurança no setor, enquanto as macro-tendências econômicas e sociais exigem uma adaptação contínua às novas demandas dos consumidores e às condições econômicas. Para que o mercado imobiliário brasileiro possa se desenvolver de forma equilibrada e sustentável, é essencial que os incorporadores estejam atentos a essas mudanças e busquem constantemente inovar e adaptar suas práticas para atender às novas realidades do mercado</w:t>
      </w:r>
    </w:p>
    <w:bookmarkEnd w:id="33"/>
    <w:bookmarkEnd w:id="34"/>
    <w:bookmarkStart w:id="35" w:name="conclusão"/>
    <w:p>
      <w:pPr>
        <w:pStyle w:val="Heading1"/>
      </w:pPr>
      <w:r>
        <w:t xml:space="preserve">Conclusão</w:t>
      </w:r>
    </w:p>
    <w:p>
      <w:pPr>
        <w:pStyle w:val="FirstParagraph"/>
      </w:pPr>
      <w:r>
        <w:t xml:space="preserve">Este arco narrativo permite ao leitor entender como a incorporação imobiliária no Brasil evoluiu em resposta às mudanças regulatórias, econômicas e de mercado. Ao adotar essa estrutura, você pode contar uma história que não apenas informa, mas também envolve o leitor ao conectar eventos históricos a contextos atuais e futuros, utilizando dados e análises para dar suporte a cada ponto discutido.</w:t>
      </w:r>
    </w:p>
    <w:bookmarkEnd w:id="35"/>
    <w:bookmarkStart w:id="38" w:name="referências-bibliográficas"/>
    <w:p>
      <w:pPr>
        <w:pStyle w:val="Heading1"/>
      </w:pPr>
      <w:r>
        <w:t xml:space="preserve">Referências bibliográficas</w:t>
      </w:r>
    </w:p>
    <w:bookmarkStart w:id="37" w:name="refs"/>
    <w:bookmarkStart w:id="36" w:name="ref-chalhub2003"/>
    <w:p>
      <w:pPr>
        <w:pStyle w:val="Bibliography"/>
      </w:pPr>
      <w:r>
        <w:t xml:space="preserve">CHALHUB, M. N. Função Social da Propriedade.</w:t>
      </w:r>
      <w:r>
        <w:t xml:space="preserve"> </w:t>
      </w:r>
      <w:r>
        <w:rPr>
          <w:bCs/>
          <w:b/>
        </w:rPr>
        <w:t xml:space="preserve">Revista da EMERJ</w:t>
      </w:r>
      <w:r>
        <w:t xml:space="preserve">, v. 6, n. 24, 2003.</w:t>
      </w:r>
    </w:p>
    <w:bookmarkEnd w:id="36"/>
    <w:bookmarkEnd w:id="37"/>
    <w:bookmarkEnd w:id="38"/>
    <w:sectPr>
      <w:footnotePr>
        <w:numFmt w:val="decimal"/>
      </w:footnotePr>
      <w:type w:val="nextPage"/>
      <w:pgSz w:h="16838" w:w="11906"/>
      <w:pgMar w:bottom="1134" w:footer="0" w:gutter="0" w:header="0" w:left="1134" w:right="1134" w:top="1134"/>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default"/>
  </w:font>
  <w:font w:name="Liberation Sans">
    <w:altName w:val="Arial"/>
    <w:charset w:val="01"/>
    <w:family w:val="roman"/>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
      </w:pPr>
      <w:r>
        <w:rPr>
          <w:rStyle w:val="FootnoteReference"/>
        </w:rPr>
        <w:footnoteRef/>
      </w:r>
      <w:r>
        <w:t xml:space="preserve"> </w:t>
      </w:r>
      <w:r>
        <w:t xml:space="preserve">Aqui esta a nota de rodapé.</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709"/>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Lohit Devanagari" w:eastAsia="Noto Serif CJK SC" w:hAnsi="Cambria"/>
        <w:kern w:val="2"/>
        <w:sz w:val="24"/>
        <w:szCs w:val="24"/>
        <w:lang w:bidi="hi-IN" w:eastAsia="zh-CN" w:val="pt-BR"/>
      </w:rPr>
    </w:rPrDefault>
    <w:pPrDefault>
      <w:pPr>
        <w:suppressAutoHyphens w:val="true"/>
      </w:pPr>
    </w:pPrDefault>
  </w:docDefaults>
  <w:style w:styleId="Normal" w:type="paragraph">
    <w:name w:val="Normal"/>
    <w:qFormat/>
    <w:pPr>
      <w:widowControl/>
      <w:suppressAutoHyphens w:val="true"/>
      <w:bidi w:val="0"/>
      <w:spacing w:after="567" w:before="567" w:line="360" w:lineRule="auto"/>
      <w:jc w:val="left"/>
    </w:pPr>
    <w:rPr>
      <w:rFonts w:ascii="Times New Roman" w:cs="Lohit Devanagari" w:eastAsia="Noto Serif CJK SC" w:hAnsi="Times New Roman"/>
      <w:color w:val="auto"/>
      <w:kern w:val="2"/>
      <w:sz w:val="24"/>
      <w:szCs w:val="24"/>
      <w:lang w:bidi="hi-IN" w:eastAsia="zh-CN" w:val="pt-BR"/>
    </w:rPr>
  </w:style>
  <w:style w:styleId="Heading1" w:type="paragraph">
    <w:name w:val="Heading 1"/>
    <w:basedOn w:val="Normal"/>
    <w:next w:val="TextBody"/>
    <w:qFormat/>
    <w:pPr>
      <w:keepNext w:val="true"/>
      <w:keepLines/>
      <w:spacing w:after="80" w:before="360"/>
      <w:outlineLvl w:val="0"/>
    </w:pPr>
    <w:rPr>
      <w:rFonts w:ascii="Times New Roman" w:cs="" w:cstheme="majorBidi" w:eastAsia="" w:eastAsiaTheme="majorEastAsia" w:hAnsi="Times New Roman"/>
      <w:b/>
      <w:color w:themeShade="bf" w:val="auto"/>
      <w:sz w:val="24"/>
      <w:szCs w:val="40"/>
    </w:rPr>
  </w:style>
  <w:style w:styleId="Heading2" w:type="paragraph">
    <w:name w:val="Heading 2"/>
    <w:basedOn w:val="Normal"/>
    <w:next w:val="TextBody"/>
    <w:qFormat/>
    <w:pPr>
      <w:keepNext w:val="true"/>
      <w:keepLines/>
      <w:spacing w:after="283" w:before="283"/>
      <w:jc w:val="both"/>
      <w:outlineLvl w:val="1"/>
    </w:pPr>
    <w:rPr>
      <w:rFonts w:ascii="Times New Roman" w:cs="" w:cstheme="majorBidi" w:eastAsia="" w:eastAsiaTheme="majorEastAsia" w:hAnsi="Times New Roman"/>
      <w:b/>
      <w:color w:themeShade="bf" w:val="auto"/>
      <w:sz w:val="24"/>
      <w:szCs w:val="32"/>
    </w:rPr>
  </w:style>
  <w:style w:styleId="DefaultParagraphFont" w:type="character">
    <w:name w:val="Default Paragraph Font"/>
    <w:qFormat/>
    <w:rPr/>
  </w:style>
  <w:style w:styleId="BodyTextChar" w:type="character">
    <w:name w:val="Body Text Char"/>
    <w:basedOn w:val="DefaultParagraphFont"/>
    <w:qFormat/>
    <w:rPr/>
  </w:style>
  <w:style w:styleId="InternetLink" w:type="character">
    <w:name w:val="Hyperlink"/>
    <w:basedOn w:val="BodyTextChar"/>
    <w:rPr>
      <w:color w:themeColor="accent1" w:val="4F81BD"/>
    </w:rPr>
  </w:style>
  <w:style w:styleId="FootnoteCharacters" w:type="character">
    <w:name w:val="Footnote Characters"/>
    <w:qFormat/>
    <w:rPr/>
  </w:style>
  <w:style w:styleId="FootnoteAnchor" w:type="character">
    <w:name w:val="Footnote Anchor"/>
    <w:rPr>
      <w:vertAlign w:val="superscript"/>
    </w:rPr>
  </w:style>
  <w:style w:styleId="EndnoteAnchor" w:type="character">
    <w:name w:val="Endnote Anchor"/>
    <w:rPr>
      <w:vertAlign w:val="superscript"/>
    </w:rPr>
  </w:style>
  <w:style w:styleId="EndnoteCharacters" w:type="character">
    <w:name w:val="Endnote Characters"/>
    <w:qFormat/>
    <w:rPr/>
  </w:style>
  <w:style w:styleId="IndexLink" w:type="character">
    <w:name w:val="Index Link"/>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pPr>
      <w:spacing w:after="283" w:before="283" w:line="360" w:lineRule="auto"/>
      <w:ind w:firstLine="850" w:left="0" w:right="0"/>
      <w:jc w:val="both"/>
    </w:pPr>
    <w:rPr/>
  </w:style>
  <w:style w:styleId="List" w:type="paragraph">
    <w:name w:val="List"/>
    <w:basedOn w:val="TextBody"/>
    <w:pPr/>
    <w:rPr>
      <w:rFonts w:ascii="Cambria" w:cs="Lohit Devanagari" w:hAnsi="Cambria"/>
    </w:rPr>
  </w:style>
  <w:style w:styleId="Caption" w:type="paragraph">
    <w:name w:val="Caption"/>
    <w:basedOn w:val="Normal"/>
    <w:qFormat/>
    <w:pPr>
      <w:suppressLineNumbers/>
      <w:spacing w:after="120" w:before="120"/>
    </w:pPr>
    <w:rPr>
      <w:rFonts w:ascii="Cambria" w:cs="Lohit Devanagari" w:hAnsi="Cambria"/>
      <w:i/>
      <w:iCs/>
      <w:sz w:val="24"/>
      <w:szCs w:val="24"/>
    </w:rPr>
  </w:style>
  <w:style w:styleId="Index" w:type="paragraph">
    <w:name w:val="Index"/>
    <w:basedOn w:val="Normal"/>
    <w:qFormat/>
    <w:pPr>
      <w:suppressLineNumbers/>
    </w:pPr>
    <w:rPr>
      <w:rFonts w:ascii="Cambria" w:cs="Lohit Devanagari" w:hAnsi="Cambria"/>
    </w:rPr>
  </w:style>
  <w:style w:styleId="Compact" w:type="paragraph">
    <w:name w:val="Compact"/>
    <w:basedOn w:val="TextBody"/>
    <w:qFormat/>
    <w:pPr>
      <w:spacing w:after="36" w:before="36"/>
    </w:pPr>
    <w:rPr/>
  </w:style>
  <w:style w:styleId="Title" w:type="paragraph">
    <w:name w:val="Title"/>
    <w:basedOn w:val="Normal"/>
    <w:next w:val="TextBody"/>
    <w:qFormat/>
    <w:pPr>
      <w:spacing w:after="0" w:before="0" w:line="240" w:lineRule="auto"/>
      <w:contextualSpacing/>
      <w:jc w:val="center"/>
    </w:pPr>
    <w:rPr>
      <w:rFonts w:ascii="Times New Roman" w:cs="" w:cstheme="majorBidi" w:eastAsia="" w:eastAsiaTheme="majorEastAsia" w:hAnsi="Times New Roman"/>
      <w:b/>
      <w:spacing w:val="0"/>
      <w:kern w:val="2"/>
      <w:sz w:val="24"/>
      <w:szCs w:val="56"/>
    </w:rPr>
  </w:style>
  <w:style w:styleId="Subtitle" w:type="paragraph">
    <w:name w:val="Subtitle"/>
    <w:basedOn w:val="Normal"/>
    <w:next w:val="TextBody"/>
    <w:qFormat/>
    <w:pPr>
      <w:spacing w:after="0" w:before="0" w:line="240" w:lineRule="auto"/>
      <w:jc w:val="center"/>
    </w:pPr>
    <w:rPr>
      <w:rFonts w:cs="" w:cstheme="majorBidi" w:eastAsia="" w:eastAsiaTheme="majorEastAsia"/>
      <w:color w:themeTint="a6" w:val="000000"/>
      <w:spacing w:val="0"/>
      <w:sz w:val="24"/>
      <w:szCs w:val="28"/>
    </w:rPr>
  </w:style>
  <w:style w:styleId="Author" w:type="paragraph">
    <w:name w:val="Author"/>
    <w:next w:val="TextBody"/>
    <w:qFormat/>
    <w:pPr>
      <w:keepNext w:val="true"/>
      <w:keepLines/>
      <w:widowControl/>
      <w:suppressAutoHyphens w:val="true"/>
      <w:bidi w:val="0"/>
      <w:spacing w:after="0" w:before="283"/>
      <w:jc w:val="right"/>
    </w:pPr>
    <w:rPr>
      <w:rFonts w:ascii="Times New Roman" w:cs="Lohit Devanagari" w:eastAsia="Noto Serif CJK SC" w:hAnsi="Times New Roman"/>
      <w:color w:val="auto"/>
      <w:kern w:val="2"/>
      <w:sz w:val="24"/>
      <w:szCs w:val="24"/>
      <w:lang w:bidi="hi-IN" w:eastAsia="zh-CN" w:val="pt-BR"/>
    </w:rPr>
  </w:style>
  <w:style w:styleId="Date" w:type="paragraph">
    <w:name w:val="Date"/>
    <w:next w:val="TextBody"/>
    <w:qFormat/>
    <w:pPr>
      <w:keepNext w:val="true"/>
      <w:keepLines/>
      <w:widowControl/>
      <w:suppressAutoHyphens w:val="true"/>
      <w:bidi w:val="0"/>
      <w:spacing w:after="283" w:before="0"/>
      <w:jc w:val="right"/>
    </w:pPr>
    <w:rPr>
      <w:rFonts w:ascii="Times New Roman" w:cs="Lohit Devanagari" w:eastAsia="Noto Serif CJK SC" w:hAnsi="Times New Roman"/>
      <w:color w:val="auto"/>
      <w:kern w:val="2"/>
      <w:sz w:val="24"/>
      <w:szCs w:val="24"/>
      <w:lang w:bidi="hi-IN" w:eastAsia="zh-CN" w:val="pt-BR"/>
    </w:rPr>
  </w:style>
  <w:style w:styleId="FirstParagraph" w:type="paragraph">
    <w:name w:val="First Paragraph"/>
    <w:basedOn w:val="TextBody"/>
    <w:next w:val="TextBody"/>
    <w:qFormat/>
    <w:pPr>
      <w:spacing w:after="283" w:before="283" w:line="360" w:lineRule="auto"/>
      <w:ind w:firstLine="850" w:left="0" w:right="0"/>
      <w:jc w:val="both"/>
    </w:pPr>
    <w:rPr/>
  </w:style>
  <w:style w:styleId="Footnote" w:type="paragraph">
    <w:name w:val="Footnote Text"/>
    <w:basedOn w:val="Normal"/>
    <w:pPr>
      <w:suppressLineNumbers/>
      <w:spacing w:after="0" w:before="0" w:line="240" w:lineRule="auto"/>
      <w:ind w:hanging="0" w:left="0" w:right="0"/>
      <w:jc w:val="both"/>
    </w:pPr>
    <w:rPr>
      <w:sz w:val="20"/>
      <w:szCs w:val="20"/>
    </w:rPr>
  </w:style>
  <w:style w:styleId="BlockText" w:type="paragraph">
    <w:name w:val="Block Text"/>
    <w:basedOn w:val="TextBody"/>
    <w:next w:val="TextBody"/>
    <w:qFormat/>
    <w:pPr>
      <w:spacing w:after="454" w:before="283" w:line="240" w:lineRule="auto"/>
      <w:ind w:hanging="0" w:left="2268" w:right="0"/>
      <w:jc w:val="both"/>
    </w:pPr>
    <w:rPr>
      <w:sz w:val="20"/>
    </w:rPr>
  </w:style>
  <w:style w:styleId="IndexHeading" w:type="paragraph">
    <w:name w:val="Index Heading"/>
    <w:basedOn w:val="Heading"/>
    <w:pPr>
      <w:suppressLineNumbers/>
      <w:ind w:hanging="0" w:left="0"/>
    </w:pPr>
    <w:rPr>
      <w:b/>
      <w:bCs/>
      <w:sz w:val="32"/>
      <w:szCs w:val="32"/>
    </w:rPr>
  </w:style>
  <w:style w:styleId="ContentsHeading" w:type="paragraph">
    <w:name w:val="TOC Heading"/>
    <w:basedOn w:val="IndexHeading"/>
    <w:pPr>
      <w:suppressLineNumbers/>
      <w:spacing w:after="0" w:before="0"/>
      <w:ind w:hanging="0" w:left="0"/>
      <w:jc w:val="center"/>
    </w:pPr>
    <w:rPr>
      <w:rFonts w:ascii="Times New Roman" w:hAnsi="Times New Roman"/>
      <w:b w:val="false"/>
      <w:bCs/>
      <w:sz w:val="20"/>
      <w:szCs w:val="32"/>
    </w:rPr>
  </w:style>
  <w:style w:styleId="Contents1" w:type="paragraph">
    <w:name w:val="TOC 1"/>
    <w:basedOn w:val="Index"/>
    <w:pPr>
      <w:tabs>
        <w:tab w:pos="709" w:val="clear"/>
        <w:tab w:leader="dot" w:pos="9638" w:val="right"/>
      </w:tabs>
      <w:spacing w:after="0" w:before="0" w:line="240" w:lineRule="auto"/>
      <w:ind w:hanging="0" w:left="0"/>
    </w:pPr>
    <w:rPr>
      <w:rFonts w:ascii="Times New Roman" w:hAnsi="Times New Roman"/>
      <w:sz w:val="20"/>
    </w:rPr>
  </w:style>
  <w:style w:styleId="Contents2" w:type="paragraph">
    <w:name w:val="TOC 2"/>
    <w:basedOn w:val="Index"/>
    <w:pPr>
      <w:tabs>
        <w:tab w:pos="709" w:val="clear"/>
        <w:tab w:leader="dot" w:pos="9355" w:val="right"/>
      </w:tabs>
      <w:spacing w:after="0" w:before="0" w:line="240" w:lineRule="auto"/>
      <w:ind w:hanging="0" w:left="0" w:right="0"/>
    </w:pPr>
    <w:rPr>
      <w:rFonts w:ascii="Times New Roman" w:hAnsi="Times New Roman"/>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1</Pages>
  <Words>166</Words>
  <Characters>907</Characters>
  <CharactersWithSpaces>1054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Estrutura Financeira da Incorporação Imobiliária</dc:title>
  <dc:creator>Alceu Eilert Nascimento e Tiago Monteiro Arruda Soares</dc:creator>
  <cp:keywords/>
  <dcterms:created xsi:type="dcterms:W3CDTF">2024-10-06T22:49:03Z</dcterms:created>
  <dcterms:modified xsi:type="dcterms:W3CDTF">2024-10-06T22:49:03Z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bibliografia.bib</vt:lpwstr>
  </property>
  <property fmtid="{D5CDD505-2E9C-101B-9397-08002B2CF9AE}" pid="5" name="by-author">
    <vt:lpwstr/>
  </property>
  <property fmtid="{D5CDD505-2E9C-101B-9397-08002B2CF9AE}" pid="6" name="csl">
    <vt:lpwstr>abnt_alceu.csl</vt:lpwstr>
  </property>
  <property fmtid="{D5CDD505-2E9C-101B-9397-08002B2CF9AE}" pid="7" name="date">
    <vt:lpwstr>2024-08-25</vt:lpwstr>
  </property>
  <property fmtid="{D5CDD505-2E9C-101B-9397-08002B2CF9AE}" pid="8" name="endnote">
    <vt:lpwstr>no</vt:lpwstr>
  </property>
  <property fmtid="{D5CDD505-2E9C-101B-9397-08002B2CF9AE}" pid="9" name="geometry">
    <vt:lpwstr>left=3cm, right=2cm, top=3cm, bottom=2cm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ep_tex">
    <vt:lpwstr>True</vt:lpwstr>
  </property>
  <property fmtid="{D5CDD505-2E9C-101B-9397-08002B2CF9AE}" pid="14" name="labels">
    <vt:lpwstr/>
  </property>
  <property fmtid="{D5CDD505-2E9C-101B-9397-08002B2CF9AE}" pid="15" name="link-citations">
    <vt:lpwstr>True</vt:lpwstr>
  </property>
  <property fmtid="{D5CDD505-2E9C-101B-9397-08002B2CF9AE}" pid="16" name="subtitle">
    <vt:lpwstr>Uma Análise sob a Ótica da Regulação e dos Incentivos Econômicos</vt:lpwstr>
  </property>
  <property fmtid="{D5CDD505-2E9C-101B-9397-08002B2CF9AE}" pid="17" name="toc-title">
    <vt:lpwstr>Table of contents</vt:lpwstr>
  </property>
</Properties>
</file>