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A</w:t>
      </w:r>
      <w:r>
        <w:t xml:space="preserve"> </w:t>
      </w:r>
      <w:r>
        <w:t xml:space="preserve">Regulação</w:t>
      </w:r>
      <w:r>
        <w:t xml:space="preserve"> </w:t>
      </w:r>
      <w:r>
        <w:t xml:space="preserve">da</w:t>
      </w:r>
      <w:r>
        <w:t xml:space="preserve"> </w:t>
      </w:r>
      <w:r>
        <w:t xml:space="preserve">Incorporação</w:t>
      </w:r>
      <w:r>
        <w:t xml:space="preserve"> </w:t>
      </w:r>
      <w:r>
        <w:t xml:space="preserve">Imobiliária</w:t>
      </w:r>
      <w:r>
        <w:t xml:space="preserve"> </w:t>
      </w:r>
      <w:r>
        <w:t xml:space="preserve">no</w:t>
      </w:r>
      <w:r>
        <w:t xml:space="preserve"> </w:t>
      </w:r>
      <w:r>
        <w:t xml:space="preserve">Brasil:</w:t>
      </w:r>
      <w:r>
        <w:t xml:space="preserve"> </w:t>
      </w:r>
      <w:r>
        <w:t xml:space="preserve">Uma</w:t>
      </w:r>
      <w:r>
        <w:t xml:space="preserve"> </w:t>
      </w:r>
      <w:r>
        <w:t xml:space="preserve">Análise</w:t>
      </w:r>
      <w:r>
        <w:t xml:space="preserve"> </w:t>
      </w:r>
      <w:r>
        <w:t xml:space="preserve">Comparativa</w:t>
      </w:r>
      <w:r>
        <w:t xml:space="preserve"> </w:t>
      </w:r>
      <w:r>
        <w:t xml:space="preserve">e</w:t>
      </w:r>
      <w:r>
        <w:t xml:space="preserve"> </w:t>
      </w:r>
      <w:r>
        <w:t xml:space="preserve">Propostas</w:t>
      </w:r>
      <w:r>
        <w:t xml:space="preserve"> </w:t>
      </w:r>
      <w:r>
        <w:t xml:space="preserve">de</w:t>
      </w:r>
      <w:r>
        <w:t xml:space="preserve"> </w:t>
      </w:r>
      <w:r>
        <w:t xml:space="preserve">Reformulação</w:t>
      </w:r>
    </w:p>
    <w:p>
      <w:pPr>
        <w:pStyle w:val="Subttulo"/>
      </w:pPr>
      <w:r>
        <w:t xml:space="preserve">Uma</w:t>
      </w:r>
      <w:r>
        <w:t xml:space="preserve"> </w:t>
      </w:r>
      <w:r>
        <w:t xml:space="preserve">Análise</w:t>
      </w:r>
      <w:r>
        <w:t xml:space="preserve"> </w:t>
      </w:r>
      <w:r>
        <w:t xml:space="preserve">sob</w:t>
      </w:r>
      <w:r>
        <w:t xml:space="preserve"> </w:t>
      </w:r>
      <w:r>
        <w:t xml:space="preserve">a</w:t>
      </w:r>
      <w:r>
        <w:t xml:space="preserve"> </w:t>
      </w:r>
      <w:r>
        <w:t xml:space="preserve">Ótica</w:t>
      </w:r>
      <w:r>
        <w:t xml:space="preserve"> </w:t>
      </w:r>
      <w:r>
        <w:t xml:space="preserve">da</w:t>
      </w:r>
      <w:r>
        <w:t xml:space="preserve"> </w:t>
      </w:r>
      <w:r>
        <w:t xml:space="preserve">Regulação</w:t>
      </w:r>
      <w:r>
        <w:t xml:space="preserve"> </w:t>
      </w:r>
      <w:r>
        <w:t xml:space="preserve">e</w:t>
      </w:r>
      <w:r>
        <w:t xml:space="preserve"> </w:t>
      </w:r>
      <w:r>
        <w:t xml:space="preserve">dos</w:t>
      </w:r>
      <w:r>
        <w:t xml:space="preserve"> </w:t>
      </w:r>
      <w:r>
        <w:t xml:space="preserve">Incentivos</w:t>
      </w:r>
      <w:r>
        <w:t xml:space="preserve"> </w:t>
      </w:r>
      <w:r>
        <w:t xml:space="preserve">Econômicos</w:t>
      </w:r>
    </w:p>
    <w:p>
      <w:pPr>
        <w:pStyle w:val="Author"/>
      </w:pPr>
      <w:r>
        <w:t xml:space="preserve">Alceu</w:t>
      </w:r>
      <w:r>
        <w:t xml:space="preserve"> </w:t>
      </w:r>
      <w:r>
        <w:t xml:space="preserve">Eilert</w:t>
      </w:r>
      <w:r>
        <w:t xml:space="preserve"> </w:t>
      </w:r>
      <w:r>
        <w:t xml:space="preserve">Nascimento</w:t>
      </w:r>
    </w:p>
    <w:p>
      <w:pPr>
        <w:pStyle w:val="Data"/>
      </w:pPr>
      <w:r>
        <w:t xml:space="preserve">2024-08-25</w:t>
      </w:r>
    </w:p>
    <w:bookmarkStart w:id="20" w:name="introdução"/>
    <w:p>
      <w:pPr>
        <w:pStyle w:val="Ttulo1"/>
      </w:pPr>
      <w:r>
        <w:t xml:space="preserve">Introdução</w:t>
      </w:r>
    </w:p>
    <w:p>
      <w:pPr>
        <w:pStyle w:val="FirstParagraph"/>
      </w:pPr>
      <w:r>
        <w:t xml:space="preserve">A estrutura regulatória da incorporação imobiliária no Brasil apresenta</w:t>
      </w:r>
      <w:r>
        <w:t xml:space="preserve"> </w:t>
      </w:r>
      <w:r>
        <w:t xml:space="preserve">lacunas importantes no que se refere à garantia de entrega dos</w:t>
      </w:r>
      <w:r>
        <w:t xml:space="preserve"> </w:t>
      </w:r>
      <w:r>
        <w:t xml:space="preserve">empreendimentos. O modelo brasileiro incentiva a alavancagem dos</w:t>
      </w:r>
      <w:r>
        <w:t xml:space="preserve"> </w:t>
      </w:r>
      <w:r>
        <w:t xml:space="preserve">incorporadores, seja através da captação de recursos dos adquirentes por</w:t>
      </w:r>
      <w:r>
        <w:t xml:space="preserve"> </w:t>
      </w:r>
      <w:r>
        <w:t xml:space="preserve">meio da venda de unidades na planta, quanto pelo financiamento à produção,</w:t>
      </w:r>
      <w:r>
        <w:t xml:space="preserve"> </w:t>
      </w:r>
      <w:r>
        <w:t xml:space="preserve">o que implica que a conclusão das obras depende diretamente do volume</w:t>
      </w:r>
      <w:r>
        <w:t xml:space="preserve"> </w:t>
      </w:r>
      <w:r>
        <w:t xml:space="preserve">de vendas. Isso expõe o setor a riscos econômicos que não são</w:t>
      </w:r>
      <w:r>
        <w:t xml:space="preserve"> </w:t>
      </w:r>
      <w:r>
        <w:t xml:space="preserve">adequadamente mitigados pela regulação atual. Esta pesquisa tem como</w:t>
      </w:r>
      <w:r>
        <w:t xml:space="preserve"> </w:t>
      </w:r>
      <w:r>
        <w:t xml:space="preserve">hipótese que o modelo regulatório brasileiro deveria ser tratado como</w:t>
      </w:r>
      <w:r>
        <w:t xml:space="preserve"> </w:t>
      </w:r>
      <w:r>
        <w:t xml:space="preserve">uma atividade financeira e, portanto, deveria estar sujeito a regras de</w:t>
      </w:r>
      <w:r>
        <w:t xml:space="preserve"> </w:t>
      </w:r>
      <w:r>
        <w:t xml:space="preserve">supervisão mais rígidas, como exigências de capital mínimo, garantias</w:t>
      </w:r>
      <w:r>
        <w:t xml:space="preserve"> </w:t>
      </w:r>
      <w:r>
        <w:t xml:space="preserve">financeiras e fiscalização mais intensa.</w:t>
      </w:r>
    </w:p>
    <w:bookmarkEnd w:id="20"/>
    <w:bookmarkStart w:id="21" w:name="hipótese"/>
    <w:p>
      <w:pPr>
        <w:pStyle w:val="Ttulo1"/>
      </w:pPr>
      <w:r>
        <w:t xml:space="preserve">Hipótese</w:t>
      </w:r>
    </w:p>
    <w:p>
      <w:pPr>
        <w:pStyle w:val="FirstParagraph"/>
      </w:pPr>
      <w:r>
        <w:t xml:space="preserve">O modelo regulatório brasileiro da incorporação imobiliária é</w:t>
      </w:r>
      <w:r>
        <w:t xml:space="preserve"> </w:t>
      </w:r>
      <w:r>
        <w:t xml:space="preserve">estruturado como um mecanismo de captação de poupança popular, sem</w:t>
      </w:r>
      <w:r>
        <w:t xml:space="preserve"> </w:t>
      </w:r>
      <w:r>
        <w:t xml:space="preserve">mecanismos robustos que garantam a entrega dos empreendimentos, o que o</w:t>
      </w:r>
      <w:r>
        <w:t xml:space="preserve"> </w:t>
      </w:r>
      <w:r>
        <w:t xml:space="preserve">diferencia de modelos internacionais mais rígidos, que exigem capital</w:t>
      </w:r>
      <w:r>
        <w:t xml:space="preserve"> </w:t>
      </w:r>
      <w:r>
        <w:t xml:space="preserve">mínimo e garantias financeiras do incorporador. Dessa forma, o modelo</w:t>
      </w:r>
      <w:r>
        <w:t xml:space="preserve"> </w:t>
      </w:r>
      <w:r>
        <w:t xml:space="preserve">brasileiro deveria ser tratado como uma atividade financeira,</w:t>
      </w:r>
      <w:r>
        <w:t xml:space="preserve"> </w:t>
      </w:r>
      <w:r>
        <w:t xml:space="preserve">submetendo-se a uma regulação mais próxima àquela de instituições</w:t>
      </w:r>
      <w:r>
        <w:t xml:space="preserve"> </w:t>
      </w:r>
      <w:r>
        <w:t xml:space="preserve">financeiras, para mitigar os riscos sistêmicos e econômicos que impactam</w:t>
      </w:r>
      <w:r>
        <w:t xml:space="preserve"> </w:t>
      </w:r>
      <w:r>
        <w:t xml:space="preserve">o setor.</w:t>
      </w:r>
    </w:p>
    <w:bookmarkEnd w:id="21"/>
    <w:bookmarkStart w:id="37" w:name="estrutura-de-análise"/>
    <w:p>
      <w:pPr>
        <w:pStyle w:val="Ttulo1"/>
      </w:pPr>
      <w:r>
        <w:t xml:space="preserve">Estrutura de Análise</w:t>
      </w:r>
    </w:p>
    <w:bookmarkStart w:id="25" w:name="X470f97163a000526d1ccc18e5f550e2e439495e"/>
    <w:p>
      <w:pPr>
        <w:pStyle w:val="Ttulo2"/>
      </w:pPr>
      <w:r>
        <w:t xml:space="preserve">1. Análise do Modelo Brasileiro de Incorporação Imobiliária</w:t>
      </w:r>
    </w:p>
    <w:bookmarkStart w:id="22" w:name="captação-de-poupança-popular"/>
    <w:p>
      <w:pPr>
        <w:pStyle w:val="Ttulo3"/>
      </w:pPr>
      <w:r>
        <w:t xml:space="preserve">Captação de Poupança Popular</w:t>
      </w:r>
    </w:p>
    <w:p>
      <w:pPr>
        <w:pStyle w:val="FirstParagraph"/>
      </w:pPr>
      <w:r>
        <w:t xml:space="preserve">No modelo brasileiro, as incorporadoras captam recursos diretamente das famílias</w:t>
      </w:r>
      <w:r>
        <w:t xml:space="preserve"> </w:t>
      </w:r>
      <w:r>
        <w:t xml:space="preserve">(os adquirentes) por meio da venda de unidades na planta.</w:t>
      </w:r>
      <w:r>
        <w:t xml:space="preserve"> </w:t>
      </w:r>
      <w:r>
        <w:t xml:space="preserve">Isso cria uma estrutura de financiamento dependente do volume de vendas</w:t>
      </w:r>
      <w:r>
        <w:t xml:space="preserve"> </w:t>
      </w:r>
      <w:r>
        <w:t xml:space="preserve">e das condições de mercado. Além disto, os desembolsos do financiamento à</w:t>
      </w:r>
      <w:r>
        <w:t xml:space="preserve"> </w:t>
      </w:r>
      <w:r>
        <w:t xml:space="preserve">produção também são vinculados ao volume de venda e a realização de receita.</w:t>
      </w:r>
    </w:p>
    <w:bookmarkEnd w:id="22"/>
    <w:bookmarkStart w:id="23" w:name="patrimônio-de-afetação"/>
    <w:p>
      <w:pPr>
        <w:pStyle w:val="Ttulo3"/>
      </w:pPr>
      <w:r>
        <w:t xml:space="preserve">Patrimônio de Afetação</w:t>
      </w:r>
    </w:p>
    <w:p>
      <w:pPr>
        <w:pStyle w:val="FirstParagraph"/>
      </w:pPr>
      <w:r>
        <w:t xml:space="preserve">Embora o patrimônio de afetação (Lei 10.931/2004) ofereça uma proteção</w:t>
      </w:r>
      <w:r>
        <w:t xml:space="preserve"> </w:t>
      </w:r>
      <w:r>
        <w:t xml:space="preserve">aos adquirentes ao separar os ativos do empreendimento dos outros ativos</w:t>
      </w:r>
      <w:r>
        <w:t xml:space="preserve"> </w:t>
      </w:r>
      <w:r>
        <w:t xml:space="preserve">da incorporadora, ele não garante a entrega das obras se as vendas forem</w:t>
      </w:r>
      <w:r>
        <w:t xml:space="preserve"> </w:t>
      </w:r>
      <w:r>
        <w:t xml:space="preserve">insuficientes para financiar o projeto.</w:t>
      </w:r>
      <w:r>
        <w:t xml:space="preserve"> </w:t>
      </w:r>
      <w:r>
        <w:t xml:space="preserve">Além disto, não há qualquer restrição à aplicação do caixa gerado.</w:t>
      </w:r>
      <w:r>
        <w:t xml:space="preserve"> </w:t>
      </w:r>
      <w:r>
        <w:t xml:space="preserve">Por fim, o controle do patrimônio é dado aos adquirentes, que não têm</w:t>
      </w:r>
      <w:r>
        <w:t xml:space="preserve"> </w:t>
      </w:r>
      <w:r>
        <w:t xml:space="preserve">conhecimento, tempo e capacidade técnica de realizarem um controle</w:t>
      </w:r>
      <w:r>
        <w:t xml:space="preserve"> </w:t>
      </w:r>
      <w:r>
        <w:t xml:space="preserve">eficiente.</w:t>
      </w:r>
    </w:p>
    <w:bookmarkEnd w:id="23"/>
    <w:bookmarkStart w:id="24" w:name="X245195287b221656d135d8c425e0e414f650d9a"/>
    <w:p>
      <w:pPr>
        <w:pStyle w:val="Ttulo3"/>
      </w:pPr>
      <w:r>
        <w:t xml:space="preserve">Ausência de Exigências Financeiras Rígidas</w:t>
      </w:r>
    </w:p>
    <w:p>
      <w:pPr>
        <w:pStyle w:val="FirstParagraph"/>
      </w:pPr>
      <w:r>
        <w:t xml:space="preserve">Diferentemente de instituições financeiras, os incorporadores não são</w:t>
      </w:r>
      <w:r>
        <w:t xml:space="preserve"> </w:t>
      </w:r>
      <w:r>
        <w:t xml:space="preserve">obrigados a cumprir requisitos de capital mínimo ou manter reservas</w:t>
      </w:r>
      <w:r>
        <w:t xml:space="preserve"> </w:t>
      </w:r>
      <w:r>
        <w:t xml:space="preserve">financeiras adequadas para mitigar riscos, o que expõe os projetos a</w:t>
      </w:r>
      <w:r>
        <w:t xml:space="preserve"> </w:t>
      </w:r>
      <w:r>
        <w:t xml:space="preserve">dificuldades de financiamento em cenários de crise econômica.</w:t>
      </w:r>
    </w:p>
    <w:p>
      <w:pPr>
        <w:pStyle w:val="Corpodetexto"/>
      </w:pPr>
      <w:r>
        <w:rPr>
          <w:bCs/>
          <w:b/>
        </w:rPr>
        <w:t xml:space="preserve">Questão chave</w:t>
      </w:r>
      <w:r>
        <w:t xml:space="preserve">: A regulação atual é suficiente para proteger os</w:t>
      </w:r>
      <w:r>
        <w:t xml:space="preserve"> </w:t>
      </w:r>
      <w:r>
        <w:t xml:space="preserve">adquirentes e garantir a entrega das obras, ou o modelo de incorporação</w:t>
      </w:r>
      <w:r>
        <w:t xml:space="preserve"> </w:t>
      </w:r>
      <w:r>
        <w:t xml:space="preserve">deveria ser considerado um produto financeiro sujeito a regras mais</w:t>
      </w:r>
      <w:r>
        <w:t xml:space="preserve"> </w:t>
      </w:r>
      <w:r>
        <w:t xml:space="preserve">rígidas?</w:t>
      </w:r>
    </w:p>
    <w:bookmarkEnd w:id="24"/>
    <w:bookmarkEnd w:id="25"/>
    <w:bookmarkStart w:id="29" w:name="comparação-com-modelos-estrangeiros"/>
    <w:p>
      <w:pPr>
        <w:pStyle w:val="Ttulo2"/>
      </w:pPr>
      <w:r>
        <w:t xml:space="preserve">2. Comparação com Modelos Estrangeiros</w:t>
      </w:r>
    </w:p>
    <w:bookmarkStart w:id="26" w:name="Xc9aba188341e33afa6373a7a39f0ad2863eaacc"/>
    <w:p>
      <w:pPr>
        <w:pStyle w:val="Ttulo3"/>
      </w:pPr>
      <w:r>
        <w:t xml:space="preserve">Modelos de Incorporação na Alemanha (MABV) e na França (VEFA)</w:t>
      </w:r>
    </w:p>
    <w:p>
      <w:pPr>
        <w:pStyle w:val="FirstParagraph"/>
      </w:pPr>
      <w:r>
        <w:t xml:space="preserve">Nos modelos europeus, o incorporador é obrigado a oferecer garantias</w:t>
      </w:r>
      <w:r>
        <w:t xml:space="preserve"> </w:t>
      </w:r>
      <w:r>
        <w:t xml:space="preserve">financeiras que asseguram a entrega das obras, independentemente do</w:t>
      </w:r>
      <w:r>
        <w:t xml:space="preserve"> </w:t>
      </w:r>
      <w:r>
        <w:t xml:space="preserve">volume de vendas. Isso pode incluir seguro-garantia, capital próprio ou</w:t>
      </w:r>
      <w:r>
        <w:t xml:space="preserve"> </w:t>
      </w:r>
      <w:r>
        <w:t xml:space="preserve">até mesmo crédito pré-aprovado de instituições financeiras.</w:t>
      </w:r>
    </w:p>
    <w:bookmarkEnd w:id="26"/>
    <w:bookmarkStart w:id="27" w:name="diferenças-estruturais"/>
    <w:p>
      <w:pPr>
        <w:pStyle w:val="Ttulo3"/>
      </w:pPr>
      <w:r>
        <w:t xml:space="preserve">Diferenças Estruturais</w:t>
      </w:r>
    </w:p>
    <w:p>
      <w:pPr>
        <w:pStyle w:val="FirstParagraph"/>
      </w:pPr>
      <w:r>
        <w:t xml:space="preserve">Esses modelos tratam o incorporador como um agente que precisa mitigar o</w:t>
      </w:r>
      <w:r>
        <w:t xml:space="preserve"> </w:t>
      </w:r>
      <w:r>
        <w:t xml:space="preserve">risco de insolvência de maneira mais explícita, tanto alinhando suas operações</w:t>
      </w:r>
      <w:r>
        <w:t xml:space="preserve"> </w:t>
      </w:r>
      <w:r>
        <w:t xml:space="preserve">com práticas semelhantes às de instituições financeiras quanto oferecendo</w:t>
      </w:r>
      <w:r>
        <w:t xml:space="preserve"> </w:t>
      </w:r>
      <w:r>
        <w:t xml:space="preserve">garantias firmes do cumprimento da obrigaçaõ de entrega das obras.</w:t>
      </w:r>
      <w:r>
        <w:t xml:space="preserve"> </w:t>
      </w:r>
      <w:r>
        <w:t xml:space="preserve">Isso minimiza a exposição do adquirente ao risco de não entrega.</w:t>
      </w:r>
      <w:r>
        <w:t xml:space="preserve"> </w:t>
      </w:r>
      <w:r>
        <w:t xml:space="preserve">Há uma significativa presença do notário como agente de verificação das</w:t>
      </w:r>
      <w:r>
        <w:t xml:space="preserve"> </w:t>
      </w:r>
      <w:r>
        <w:t xml:space="preserve">condições do incorporador antes de realizar um contrato de compra e venda</w:t>
      </w:r>
      <w:r>
        <w:t xml:space="preserve"> </w:t>
      </w:r>
      <w:r>
        <w:t xml:space="preserve">de unidades.</w:t>
      </w:r>
    </w:p>
    <w:bookmarkEnd w:id="27"/>
    <w:bookmarkStart w:id="28" w:name="supervisão-regulatória-mais-rigorosa"/>
    <w:p>
      <w:pPr>
        <w:pStyle w:val="Ttulo3"/>
      </w:pPr>
      <w:r>
        <w:t xml:space="preserve">Supervisão Regulatória Mais Rigorosa</w:t>
      </w:r>
    </w:p>
    <w:p>
      <w:pPr>
        <w:pStyle w:val="FirstParagraph"/>
      </w:pPr>
      <w:r>
        <w:t xml:space="preserve">As incorporadoras em países como Alemanha e França são submetidas a</w:t>
      </w:r>
      <w:r>
        <w:t xml:space="preserve"> </w:t>
      </w:r>
      <w:r>
        <w:t xml:space="preserve">regras de supervisão financeira que incluem avaliação de solvência e</w:t>
      </w:r>
      <w:r>
        <w:t xml:space="preserve"> </w:t>
      </w:r>
      <w:r>
        <w:t xml:space="preserve">controle de riscos, tal como ocorre com instituições bancárias.</w:t>
      </w:r>
    </w:p>
    <w:p>
      <w:pPr>
        <w:pStyle w:val="Corpodetexto"/>
      </w:pPr>
      <w:r>
        <w:rPr>
          <w:bCs/>
          <w:b/>
        </w:rPr>
        <w:t xml:space="preserve">Questão chave</w:t>
      </w:r>
      <w:r>
        <w:t xml:space="preserve">: Como os modelos internacionais garantem a conclusão</w:t>
      </w:r>
      <w:r>
        <w:t xml:space="preserve"> </w:t>
      </w:r>
      <w:r>
        <w:t xml:space="preserve">das obras e quais lições podem ser aplicadas ao contexto brasileiro?</w:t>
      </w:r>
    </w:p>
    <w:bookmarkEnd w:id="28"/>
    <w:bookmarkEnd w:id="29"/>
    <w:bookmarkStart w:id="33" w:name="X283f53bb66f906fb515ebb98f0f781da72ba835"/>
    <w:p>
      <w:pPr>
        <w:pStyle w:val="Ttulo2"/>
      </w:pPr>
      <w:r>
        <w:t xml:space="preserve">3. Impacto Econômico e Riscos Sistêmicos no Brasil</w:t>
      </w:r>
    </w:p>
    <w:bookmarkStart w:id="30" w:name="ciclo-econômico-e-o-mercado-imobiliário"/>
    <w:p>
      <w:pPr>
        <w:pStyle w:val="Ttulo3"/>
      </w:pPr>
      <w:r>
        <w:t xml:space="preserve">Ciclo Econômico e o Mercado Imobiliário</w:t>
      </w:r>
    </w:p>
    <w:p>
      <w:pPr>
        <w:pStyle w:val="FirstParagraph"/>
      </w:pPr>
      <w:r>
        <w:t xml:space="preserve">A forte correlação entre o desempenho do mercado imobiliário e o ciclo</w:t>
      </w:r>
      <w:r>
        <w:t xml:space="preserve"> </w:t>
      </w:r>
      <w:r>
        <w:t xml:space="preserve">econômico no Brasil gera uma vulnerabilidade sistêmica. Em momentos de</w:t>
      </w:r>
      <w:r>
        <w:t xml:space="preserve"> </w:t>
      </w:r>
      <w:r>
        <w:t xml:space="preserve">alta de juros e restrição de crédito, o volume de vendas cai, afetando</w:t>
      </w:r>
      <w:r>
        <w:t xml:space="preserve"> </w:t>
      </w:r>
      <w:r>
        <w:t xml:space="preserve">diretamente a capacidade das incorporadoras de financiar e concluir os</w:t>
      </w:r>
      <w:r>
        <w:t xml:space="preserve"> </w:t>
      </w:r>
      <w:r>
        <w:t xml:space="preserve">empreendimentos.</w:t>
      </w:r>
    </w:p>
    <w:bookmarkEnd w:id="30"/>
    <w:bookmarkStart w:id="31" w:name="riscos-de-insolvência"/>
    <w:p>
      <w:pPr>
        <w:pStyle w:val="Ttulo3"/>
      </w:pPr>
      <w:r>
        <w:t xml:space="preserve">Riscos de Insolvência</w:t>
      </w:r>
    </w:p>
    <w:p>
      <w:pPr>
        <w:pStyle w:val="FirstParagraph"/>
      </w:pPr>
      <w:r>
        <w:t xml:space="preserve">Sem exigências financeiras rígidas ou supervisão robusta, os</w:t>
      </w:r>
      <w:r>
        <w:t xml:space="preserve"> </w:t>
      </w:r>
      <w:r>
        <w:t xml:space="preserve">incorporadores brasileiros podem ficar expostos a dificuldades de</w:t>
      </w:r>
      <w:r>
        <w:t xml:space="preserve"> </w:t>
      </w:r>
      <w:r>
        <w:t xml:space="preserve">financiamento durante crises, aumentando os riscos de falência e</w:t>
      </w:r>
      <w:r>
        <w:t xml:space="preserve"> </w:t>
      </w:r>
      <w:r>
        <w:t xml:space="preserve">abandono de obras.</w:t>
      </w:r>
    </w:p>
    <w:bookmarkEnd w:id="31"/>
    <w:bookmarkStart w:id="32" w:name="exposição-ao-risco-econômico"/>
    <w:p>
      <w:pPr>
        <w:pStyle w:val="Ttulo3"/>
      </w:pPr>
      <w:r>
        <w:t xml:space="preserve">Exposição ao Risco Econômico</w:t>
      </w:r>
    </w:p>
    <w:p>
      <w:pPr>
        <w:pStyle w:val="FirstParagraph"/>
      </w:pPr>
      <w:r>
        <w:t xml:space="preserve">No modelo atual, o risco de não entrega está diretamente ligado à</w:t>
      </w:r>
      <w:r>
        <w:t xml:space="preserve"> </w:t>
      </w:r>
      <w:r>
        <w:t xml:space="preserve">conjuntura econômica. A regulação, portanto, deve ser revista para lidar</w:t>
      </w:r>
      <w:r>
        <w:t xml:space="preserve"> </w:t>
      </w:r>
      <w:r>
        <w:t xml:space="preserve">com esses riscos.</w:t>
      </w:r>
    </w:p>
    <w:p>
      <w:pPr>
        <w:pStyle w:val="Corpodetexto"/>
      </w:pPr>
      <w:r>
        <w:rPr>
          <w:bCs/>
          <w:b/>
        </w:rPr>
        <w:t xml:space="preserve">Questão chave</w:t>
      </w:r>
      <w:r>
        <w:t xml:space="preserve">: Quais são os principais fatores econômicos que</w:t>
      </w:r>
      <w:r>
        <w:t xml:space="preserve"> </w:t>
      </w:r>
      <w:r>
        <w:t xml:space="preserve">amplificam o risco de não entrega no modelo brasileiro, e como a</w:t>
      </w:r>
      <w:r>
        <w:t xml:space="preserve"> </w:t>
      </w:r>
      <w:r>
        <w:t xml:space="preserve">regulação pode mitigá-los?</w:t>
      </w:r>
    </w:p>
    <w:bookmarkEnd w:id="32"/>
    <w:bookmarkEnd w:id="33"/>
    <w:bookmarkStart w:id="36" w:name="proposta-de-nova-estrutura-regulatória"/>
    <w:p>
      <w:pPr>
        <w:pStyle w:val="Ttulo2"/>
      </w:pPr>
      <w:r>
        <w:t xml:space="preserve">4. Proposta de Nova Estrutura Regulatória</w:t>
      </w:r>
    </w:p>
    <w:bookmarkStart w:id="34" w:name="X20da4bf703a7266666dead8a90eeb5fb8693b9b"/>
    <w:p>
      <w:pPr>
        <w:pStyle w:val="Ttulo3"/>
      </w:pPr>
      <w:r>
        <w:t xml:space="preserve">Incorporação Imobiliária como Atividade Financeira</w:t>
      </w:r>
    </w:p>
    <w:p>
      <w:pPr>
        <w:pStyle w:val="FirstParagraph"/>
      </w:pPr>
      <w:r>
        <w:t xml:space="preserve">Se o modelo brasileiro é essencialmente uma forma de captação de</w:t>
      </w:r>
      <w:r>
        <w:t xml:space="preserve"> </w:t>
      </w:r>
      <w:r>
        <w:t xml:space="preserve">poupança popular, ele deveria ser tratado como uma atividade financeira,</w:t>
      </w:r>
      <w:r>
        <w:t xml:space="preserve"> </w:t>
      </w:r>
      <w:r>
        <w:t xml:space="preserve">o que implicaria na necessidade de: - Exigência de capital mínimo por</w:t>
      </w:r>
      <w:r>
        <w:t xml:space="preserve"> </w:t>
      </w:r>
      <w:r>
        <w:t xml:space="preserve">parte das incorporadoras; - Supervisão regulatória mais intensa,</w:t>
      </w:r>
      <w:r>
        <w:t xml:space="preserve"> </w:t>
      </w:r>
      <w:r>
        <w:t xml:space="preserve">semelhante à de bancos e instituições financeiras; - Garantias</w:t>
      </w:r>
      <w:r>
        <w:t xml:space="preserve"> </w:t>
      </w:r>
      <w:r>
        <w:t xml:space="preserve">financeiras robustas (seguro-garantia ou capital pré-aprovado) para</w:t>
      </w:r>
      <w:r>
        <w:t xml:space="preserve"> </w:t>
      </w:r>
      <w:r>
        <w:t xml:space="preserve">assegurar a conclusão das obras; - Mecanismos de mitigação de risco que</w:t>
      </w:r>
      <w:r>
        <w:t xml:space="preserve"> </w:t>
      </w:r>
      <w:r>
        <w:t xml:space="preserve">se protejam contra oscilações econômicas.</w:t>
      </w:r>
    </w:p>
    <w:bookmarkEnd w:id="34"/>
    <w:bookmarkStart w:id="35" w:name="X2de43f8de9af7a94b6a1a3728d66eaca7757be8"/>
    <w:p>
      <w:pPr>
        <w:pStyle w:val="Ttulo3"/>
      </w:pPr>
      <w:r>
        <w:t xml:space="preserve">Regulação Inspirada em Práticas Internacionais</w:t>
      </w:r>
    </w:p>
    <w:p>
      <w:pPr>
        <w:pStyle w:val="FirstParagraph"/>
      </w:pPr>
      <w:r>
        <w:t xml:space="preserve">A adoção de elementos dos modelos europeus, como a exigência de</w:t>
      </w:r>
      <w:r>
        <w:t xml:space="preserve"> </w:t>
      </w:r>
      <w:r>
        <w:t xml:space="preserve">garantias de conclusão de obras, pode fortalecer a proteção ao</w:t>
      </w:r>
      <w:r>
        <w:t xml:space="preserve"> </w:t>
      </w:r>
      <w:r>
        <w:t xml:space="preserve">adquirente e aumentar a confiança no setor imobiliário.</w:t>
      </w:r>
    </w:p>
    <w:p>
      <w:pPr>
        <w:pStyle w:val="Corpodetexto"/>
      </w:pPr>
      <w:r>
        <w:rPr>
          <w:bCs/>
          <w:b/>
        </w:rPr>
        <w:t xml:space="preserve">Questão chave</w:t>
      </w:r>
      <w:r>
        <w:t xml:space="preserve">: Quais mudanças regulatórias são necessárias para que</w:t>
      </w:r>
      <w:r>
        <w:t xml:space="preserve"> </w:t>
      </w:r>
      <w:r>
        <w:t xml:space="preserve">o modelo brasileiro de incorporação imobiliária se aproxime dos padrões</w:t>
      </w:r>
      <w:r>
        <w:t xml:space="preserve"> </w:t>
      </w:r>
      <w:r>
        <w:t xml:space="preserve">internacionais, minimizando os riscos sistêmicos e garantindo maior</w:t>
      </w:r>
      <w:r>
        <w:t xml:space="preserve"> </w:t>
      </w:r>
      <w:r>
        <w:t xml:space="preserve">proteção aos adquirentes?</w:t>
      </w:r>
    </w:p>
    <w:bookmarkEnd w:id="35"/>
    <w:bookmarkEnd w:id="36"/>
    <w:bookmarkEnd w:id="37"/>
    <w:bookmarkStart w:id="38" w:name="contribuição-esperada"/>
    <w:p>
      <w:pPr>
        <w:pStyle w:val="Ttulo1"/>
      </w:pPr>
      <w:r>
        <w:t xml:space="preserve">Contribuição Esperada</w:t>
      </w:r>
    </w:p>
    <w:p>
      <w:pPr>
        <w:pStyle w:val="FirstParagraph"/>
      </w:pPr>
      <w:r>
        <w:t xml:space="preserve">Este estudo contribuirá ao demonstrar que o modelo atual da incorporação</w:t>
      </w:r>
      <w:r>
        <w:t xml:space="preserve"> </w:t>
      </w:r>
      <w:r>
        <w:t xml:space="preserve">imobiliária no Brasil, baseado na captação de poupança popular sem</w:t>
      </w:r>
      <w:r>
        <w:t xml:space="preserve"> </w:t>
      </w:r>
      <w:r>
        <w:t xml:space="preserve">garantias financeiras adequadas, é insuficiente para proteger os</w:t>
      </w:r>
      <w:r>
        <w:t xml:space="preserve"> </w:t>
      </w:r>
      <w:r>
        <w:t xml:space="preserve">adquirentes e garantir a entrega dos empreendimentos em momentos de</w:t>
      </w:r>
      <w:r>
        <w:t xml:space="preserve"> </w:t>
      </w:r>
      <w:r>
        <w:t xml:space="preserve">crise econômica. A pesquisa sugerirá que o setor seja tratado com um</w:t>
      </w:r>
      <w:r>
        <w:t xml:space="preserve"> </w:t>
      </w:r>
      <w:r>
        <w:t xml:space="preserve">nível de regulação semelhante ao de instituições financeiras, o que</w:t>
      </w:r>
      <w:r>
        <w:t xml:space="preserve"> </w:t>
      </w:r>
      <w:r>
        <w:t xml:space="preserve">inclui a imposição de requisitos de capital mínimo, supervisão</w:t>
      </w:r>
      <w:r>
        <w:t xml:space="preserve"> </w:t>
      </w:r>
      <w:r>
        <w:t xml:space="preserve">regulatória rigorosa e garantias financeiras robustas. Além disso, a</w:t>
      </w:r>
      <w:r>
        <w:t xml:space="preserve"> </w:t>
      </w:r>
      <w:r>
        <w:t xml:space="preserve">pesquisa pode propor a adoção de mecanismos de proteção semelhantes aos</w:t>
      </w:r>
      <w:r>
        <w:t xml:space="preserve"> </w:t>
      </w:r>
      <w:r>
        <w:t xml:space="preserve">modelos internacionais, fortalecendo a resiliência do setor.</w:t>
      </w:r>
    </w:p>
    <w:bookmarkEnd w:id="38"/>
    <w:bookmarkStart w:id="39" w:name="metodologia-sugerida"/>
    <w:p>
      <w:pPr>
        <w:pStyle w:val="Ttulo1"/>
      </w:pPr>
      <w:r>
        <w:t xml:space="preserve">Metodologia Sugerida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Pesquisa Comparativa</w:t>
      </w:r>
      <w:r>
        <w:t xml:space="preserve">: Análise das normas brasileiras e</w:t>
      </w:r>
      <w:r>
        <w:t xml:space="preserve"> </w:t>
      </w:r>
      <w:r>
        <w:t xml:space="preserve">estrangeiras (por exemplo, MABV na Alemanha e VEFA na França) para</w:t>
      </w:r>
      <w:r>
        <w:t xml:space="preserve"> </w:t>
      </w:r>
      <w:r>
        <w:t xml:space="preserve">identificar diferenças nas exigências regulatórias e de garantia.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Estudo de Caso</w:t>
      </w:r>
      <w:r>
        <w:t xml:space="preserve">: Análise de incorporadoras que enfrentaram</w:t>
      </w:r>
      <w:r>
        <w:t xml:space="preserve"> </w:t>
      </w:r>
      <w:r>
        <w:t xml:space="preserve">dificuldades em cenários de crise econômica, explorando como a falta</w:t>
      </w:r>
      <w:r>
        <w:t xml:space="preserve"> </w:t>
      </w:r>
      <w:r>
        <w:t xml:space="preserve">de regulação financeira mais rígida contribuiu para esses problemas.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Análise Econométrica</w:t>
      </w:r>
      <w:r>
        <w:t xml:space="preserve">: Estudo quantitativo sobre a relação entre</w:t>
      </w:r>
      <w:r>
        <w:t xml:space="preserve"> </w:t>
      </w:r>
      <w:r>
        <w:t xml:space="preserve">condições econômicas (juros, crédito, inflação) e o volume de</w:t>
      </w:r>
      <w:r>
        <w:t xml:space="preserve"> </w:t>
      </w:r>
      <w:r>
        <w:t xml:space="preserve">distratos, falências e não entrega de obras no Brasil.</w:t>
      </w:r>
    </w:p>
    <w:bookmarkEnd w:id="39"/>
    <w:bookmarkStart w:id="40" w:name="referências"/>
    <w:p>
      <w:pPr>
        <w:pStyle w:val="Ttulo1"/>
      </w:pPr>
      <w:r>
        <w:t xml:space="preserve">Referências</w:t>
      </w:r>
    </w:p>
    <w:p>
      <w:pPr>
        <w:numPr>
          <w:ilvl w:val="0"/>
          <w:numId w:val="1002"/>
        </w:numPr>
        <w:pStyle w:val="Compact"/>
      </w:pPr>
      <w:r>
        <w:t xml:space="preserve">Barth, J. R., Caprio, G., Levine, R. (2006).</w:t>
      </w:r>
      <w:r>
        <w:t xml:space="preserve"> </w:t>
      </w:r>
      <w:r>
        <w:rPr>
          <w:iCs/>
          <w:i/>
        </w:rPr>
        <w:t xml:space="preserve">Rethinking Bank</w:t>
      </w:r>
      <w:r>
        <w:rPr>
          <w:iCs/>
          <w:i/>
        </w:rPr>
        <w:t xml:space="preserve"> </w:t>
      </w:r>
      <w:r>
        <w:rPr>
          <w:iCs/>
          <w:i/>
        </w:rPr>
        <w:t xml:space="preserve">Regulation: Till Angels Govern</w:t>
      </w:r>
      <w:r>
        <w:t xml:space="preserve">. Cambridge University Press.</w:t>
      </w:r>
      <w:r>
        <w:t xml:space="preserve"> </w:t>
      </w:r>
      <w:r>
        <w:t xml:space="preserve">https://doi.org/10.1017/CBO9780511753817</w:t>
      </w:r>
    </w:p>
    <w:p>
      <w:pPr>
        <w:numPr>
          <w:ilvl w:val="0"/>
          <w:numId w:val="1002"/>
        </w:numPr>
        <w:pStyle w:val="Compact"/>
      </w:pPr>
      <w:r>
        <w:t xml:space="preserve">Beck, T., Demirguc-Kunt, A., Levine, R. (2009). Financial</w:t>
      </w:r>
      <w:r>
        <w:t xml:space="preserve"> </w:t>
      </w:r>
      <w:r>
        <w:t xml:space="preserve">Institutions and Markets Across Countries and Over Time: The Updated</w:t>
      </w:r>
      <w:r>
        <w:t xml:space="preserve"> </w:t>
      </w:r>
      <w:r>
        <w:t xml:space="preserve">Financial Development and Structure Database.</w:t>
      </w:r>
      <w:r>
        <w:t xml:space="preserve"> </w:t>
      </w:r>
      <w:r>
        <w:rPr>
          <w:iCs/>
          <w:i/>
        </w:rPr>
        <w:t xml:space="preserve">World Bank Economic Review</w:t>
      </w:r>
      <w:r>
        <w:t xml:space="preserve">, 24(1), 77-92.</w:t>
      </w:r>
      <w:r>
        <w:t xml:space="preserve"> </w:t>
      </w:r>
      <w:r>
        <w:t xml:space="preserve">https://doi.org/10.1093/wber/lhp016</w:t>
      </w:r>
    </w:p>
    <w:p>
      <w:pPr>
        <w:numPr>
          <w:ilvl w:val="0"/>
          <w:numId w:val="1002"/>
        </w:numPr>
        <w:pStyle w:val="Compact"/>
      </w:pPr>
      <w:r>
        <w:t xml:space="preserve">La Porta, R., Lopez-de-Silanes, F., Shleifer, A., Vishny, R. W.</w:t>
      </w:r>
      <w:r>
        <w:t xml:space="preserve"> </w:t>
      </w:r>
      <w:r>
        <w:t xml:space="preserve">(1997). Legal determinants of external finance.</w:t>
      </w:r>
      <w:r>
        <w:t xml:space="preserve"> </w:t>
      </w:r>
      <w:r>
        <w:rPr>
          <w:iCs/>
          <w:i/>
        </w:rPr>
        <w:t xml:space="preserve">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Finance</w:t>
      </w:r>
      <w:r>
        <w:t xml:space="preserve">, 52(3), 1131-1150.</w:t>
      </w:r>
      <w:r>
        <w:t xml:space="preserve"> </w:t>
      </w:r>
      <w:r>
        <w:t xml:space="preserve">https://doi.org/10.1111/j.1540-6261.1997.tb02727.x</w:t>
      </w:r>
    </w:p>
    <w:bookmarkEnd w:id="40"/>
    <w:sectPr w:rsidR="00F457E5">
      <w:pgSz w:h="16838" w:w="11906"/>
      <w:pgMar w:bottom="1134" w:footer="0" w:gutter="0" w:header="0" w:left="1134" w:right="1134" w:top="1134"/>
      <w:cols w:space="720"/>
      <w:formProt w:val="0"/>
      <w:docGrid w:linePitch="10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proofState w:grammar="clean" w:spelling="clean"/>
  <w:defaultTabStop w:val="709"/>
  <w:autoHyphenation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" w:eastAsia="" w:val="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cs="Lohit Devanagari" w:eastAsia="Noto Serif CJK SC" w:hAnsi="Cambria"/>
        <w:kern w:val="2"/>
        <w:sz w:val="24"/>
        <w:szCs w:val="24"/>
        <w:lang w:bidi="hi-IN" w:eastAsia="zh-CN" w:val="pt-BR"/>
      </w:rPr>
    </w:rPrDefault>
    <w:pPrDefault>
      <w:pPr>
        <w:suppressAutoHyphens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pPr>
      <w:spacing w:after="567" w:before="567" w:line="360" w:lineRule="auto"/>
    </w:pPr>
    <w:rPr>
      <w:rFonts w:ascii="Times New Roman" w:hAnsi="Times New Roman"/>
    </w:rPr>
  </w:style>
  <w:style w:styleId="Ttulo1" w:type="paragraph">
    <w:name w:val="heading 1"/>
    <w:basedOn w:val="Normal"/>
    <w:next w:val="Corpodetexto"/>
    <w:uiPriority w:val="9"/>
    <w:qFormat/>
    <w:rsid w:val="00AF0735"/>
    <w:pPr>
      <w:keepNext/>
      <w:keepLines/>
      <w:spacing w:after="80" w:before="360"/>
      <w:outlineLvl w:val="0"/>
    </w:pPr>
    <w:rPr>
      <w:rFonts w:cstheme="majorBidi" w:eastAsiaTheme="majorEastAsia"/>
      <w:b/>
      <w:caps/>
      <w:szCs w:val="40"/>
    </w:rPr>
  </w:style>
  <w:style w:styleId="Ttulo2" w:type="paragraph">
    <w:name w:val="heading 2"/>
    <w:basedOn w:val="Normal"/>
    <w:next w:val="Corpodetexto"/>
    <w:uiPriority w:val="9"/>
    <w:unhideWhenUsed/>
    <w:qFormat/>
    <w:rsid w:val="006314CA"/>
    <w:pPr>
      <w:keepNext/>
      <w:keepLines/>
      <w:spacing w:after="120" w:before="120"/>
      <w:jc w:val="both"/>
      <w:outlineLvl w:val="1"/>
    </w:pPr>
    <w:rPr>
      <w:rFonts w:cstheme="majorBidi" w:eastAsiaTheme="majorEastAsia"/>
      <w:b/>
      <w:caps/>
      <w:szCs w:val="32"/>
    </w:rPr>
  </w:style>
  <w:style w:styleId="Ttulo3" w:type="paragraph">
    <w:name w:val="heading 3"/>
    <w:basedOn w:val="Normal"/>
    <w:next w:val="Normal"/>
    <w:link w:val="Ttulo3Char"/>
    <w:uiPriority w:val="9"/>
    <w:unhideWhenUsed/>
    <w:qFormat/>
    <w:rsid w:val="006314CA"/>
    <w:pPr>
      <w:keepNext/>
      <w:keepLines/>
      <w:spacing w:after="120" w:before="120"/>
      <w:jc w:val="both"/>
      <w:outlineLvl w:val="2"/>
    </w:pPr>
    <w:rPr>
      <w:rFonts w:cs="Mangal" w:eastAsiaTheme="majorEastAsia"/>
      <w:b/>
      <w:szCs w:val="21"/>
    </w:rPr>
  </w:style>
  <w:style w:default="1" w:styleId="Fontepargpadro" w:type="character">
    <w:name w:val="Default Paragraph Font"/>
    <w:uiPriority w:val="1"/>
    <w:semiHidden/>
    <w:unhideWhenUsed/>
  </w:style>
  <w:style w:default="1" w:styleId="Tabe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emlista" w:type="numbering">
    <w:name w:val="No List"/>
    <w:uiPriority w:val="99"/>
    <w:semiHidden/>
    <w:unhideWhenUsed/>
  </w:style>
  <w:style w:customStyle="1" w:styleId="BodyTextChar" w:type="character">
    <w:name w:val="Body Text Char"/>
    <w:basedOn w:val="Fontepargpadro"/>
    <w:qFormat/>
  </w:style>
  <w:style w:styleId="Hyperlink" w:type="character">
    <w:name w:val="Hyperlink"/>
    <w:basedOn w:val="BodyTextChar"/>
    <w:rPr>
      <w:color w:themeColor="accent1" w:val="156082"/>
    </w:rPr>
  </w:style>
  <w:style w:customStyle="1" w:styleId="FootnoteCharacters" w:type="character">
    <w:name w:val="Footnote Characters"/>
    <w:qFormat/>
  </w:style>
  <w:style w:customStyle="1" w:styleId="FootnoteAnchor" w:type="character">
    <w:name w:val="Footnote Anchor"/>
    <w:rPr>
      <w:vertAlign w:val="superscript"/>
    </w:rPr>
  </w:style>
  <w:style w:customStyle="1" w:styleId="EndnoteAnchor" w:type="character">
    <w:name w:val="Endnote Anchor"/>
    <w:rPr>
      <w:vertAlign w:val="superscript"/>
    </w:rPr>
  </w:style>
  <w:style w:customStyle="1" w:styleId="EndnoteCharacters" w:type="character">
    <w:name w:val="Endnote Characters"/>
    <w:qFormat/>
  </w:style>
  <w:style w:customStyle="1" w:styleId="IndexLink" w:type="character">
    <w:name w:val="Index Link"/>
    <w:qFormat/>
  </w:style>
  <w:style w:customStyle="1" w:styleId="Heading" w:type="paragraph">
    <w:name w:val="Heading"/>
    <w:basedOn w:val="Normal"/>
    <w:next w:val="Corpodetexto"/>
    <w:qFormat/>
    <w:pPr>
      <w:keepNext/>
      <w:spacing w:after="120" w:before="240"/>
    </w:pPr>
    <w:rPr>
      <w:rFonts w:ascii="Liberation Sans" w:eastAsia="Noto Sans CJK SC" w:hAnsi="Liberation Sans"/>
      <w:sz w:val="28"/>
      <w:szCs w:val="28"/>
    </w:rPr>
  </w:style>
  <w:style w:styleId="Corpodetexto" w:type="paragraph">
    <w:name w:val="Body Text"/>
    <w:basedOn w:val="Normal"/>
    <w:pPr>
      <w:spacing w:after="283" w:before="283"/>
      <w:ind w:firstLine="850"/>
      <w:jc w:val="both"/>
    </w:pPr>
  </w:style>
  <w:style w:styleId="Lista" w:type="paragraph">
    <w:name w:val="List"/>
    <w:basedOn w:val="Corpodetexto"/>
    <w:rPr>
      <w:rFonts w:ascii="Cambria" w:hAnsi="Cambria"/>
    </w:rPr>
  </w:style>
  <w:style w:styleId="Legenda" w:type="paragraph">
    <w:name w:val="caption"/>
    <w:basedOn w:val="Normal"/>
    <w:qFormat/>
    <w:pPr>
      <w:suppressLineNumbers/>
      <w:spacing w:after="120" w:before="120"/>
    </w:pPr>
    <w:rPr>
      <w:rFonts w:ascii="Cambria" w:hAnsi="Cambria"/>
      <w:i/>
      <w:iCs/>
    </w:rPr>
  </w:style>
  <w:style w:customStyle="1" w:styleId="Index" w:type="paragraph">
    <w:name w:val="Index"/>
    <w:basedOn w:val="Normal"/>
    <w:qFormat/>
    <w:pPr>
      <w:suppressLineNumbers/>
    </w:pPr>
    <w:rPr>
      <w:rFonts w:ascii="Cambria" w:hAnsi="Cambria"/>
    </w:rPr>
  </w:style>
  <w:style w:customStyle="1" w:styleId="Compact" w:type="paragraph">
    <w:name w:val="Compact"/>
    <w:basedOn w:val="Corpodetexto"/>
    <w:qFormat/>
    <w:pPr>
      <w:spacing w:after="36" w:before="36"/>
    </w:pPr>
  </w:style>
  <w:style w:styleId="Ttulo" w:type="paragraph">
    <w:name w:val="Title"/>
    <w:basedOn w:val="Normal"/>
    <w:next w:val="Corpodetexto"/>
    <w:uiPriority w:val="10"/>
    <w:qFormat/>
    <w:pPr>
      <w:spacing w:after="0" w:before="0" w:line="240" w:lineRule="auto"/>
      <w:contextualSpacing/>
      <w:jc w:val="center"/>
    </w:pPr>
    <w:rPr>
      <w:rFonts w:cstheme="majorBidi" w:eastAsiaTheme="majorEastAsia"/>
      <w:b/>
      <w:szCs w:val="56"/>
    </w:rPr>
  </w:style>
  <w:style w:styleId="Subttulo" w:type="paragraph">
    <w:name w:val="Subtitle"/>
    <w:basedOn w:val="Normal"/>
    <w:next w:val="Corpodetexto"/>
    <w:uiPriority w:val="11"/>
    <w:qFormat/>
    <w:pPr>
      <w:spacing w:after="0" w:before="0" w:line="240" w:lineRule="auto"/>
      <w:jc w:val="center"/>
    </w:pPr>
    <w:rPr>
      <w:rFonts w:cstheme="majorBidi" w:eastAsiaTheme="majorEastAsia"/>
      <w:color w:val="000000"/>
      <w:szCs w:val="28"/>
    </w:rPr>
  </w:style>
  <w:style w:customStyle="1" w:styleId="Author" w:type="paragraph">
    <w:name w:val="Author"/>
    <w:next w:val="Corpodetexto"/>
    <w:qFormat/>
    <w:rsid w:val="00AF0735"/>
    <w:pPr>
      <w:keepNext/>
      <w:keepLines/>
      <w:spacing w:before="283"/>
    </w:pPr>
    <w:rPr>
      <w:rFonts w:ascii="Times New Roman" w:hAnsi="Times New Roman"/>
    </w:rPr>
  </w:style>
  <w:style w:styleId="Data" w:type="paragraph">
    <w:name w:val="Date"/>
    <w:next w:val="Corpodetexto"/>
    <w:qFormat/>
    <w:pPr>
      <w:keepNext/>
      <w:keepLines/>
      <w:spacing w:after="283"/>
      <w:jc w:val="right"/>
    </w:pPr>
    <w:rPr>
      <w:rFonts w:ascii="Times New Roman" w:hAnsi="Times New Roman"/>
    </w:rPr>
  </w:style>
  <w:style w:customStyle="1" w:styleId="FirstParagraph" w:type="paragraph">
    <w:name w:val="First Paragraph"/>
    <w:basedOn w:val="Corpodetexto"/>
    <w:next w:val="Corpodetexto"/>
    <w:qFormat/>
  </w:style>
  <w:style w:styleId="Textodenotaderodap" w:type="paragraph">
    <w:name w:val="footnote text"/>
    <w:basedOn w:val="Normal"/>
    <w:pPr>
      <w:suppressLineNumbers/>
      <w:spacing w:after="0" w:before="0" w:line="240" w:lineRule="auto"/>
      <w:jc w:val="both"/>
    </w:pPr>
    <w:rPr>
      <w:sz w:val="20"/>
      <w:szCs w:val="20"/>
    </w:rPr>
  </w:style>
  <w:style w:styleId="Textoembloco" w:type="paragraph">
    <w:name w:val="Block Text"/>
    <w:basedOn w:val="Corpodetexto"/>
    <w:next w:val="Corpodetexto"/>
    <w:qFormat/>
    <w:pPr>
      <w:spacing w:after="454" w:line="240" w:lineRule="auto"/>
      <w:ind w:firstLine="0" w:left="2268"/>
    </w:pPr>
    <w:rPr>
      <w:sz w:val="20"/>
    </w:rPr>
  </w:style>
  <w:style w:styleId="Ttulodendiceremissivo" w:type="paragraph">
    <w:name w:val="index heading"/>
    <w:basedOn w:val="Heading"/>
    <w:pPr>
      <w:suppressLineNumbers/>
    </w:pPr>
    <w:rPr>
      <w:b/>
      <w:bCs/>
      <w:sz w:val="32"/>
      <w:szCs w:val="32"/>
    </w:rPr>
  </w:style>
  <w:style w:styleId="CabealhodoSumrio" w:type="paragraph">
    <w:name w:val="TOC Heading"/>
    <w:basedOn w:val="Ttulodendiceremissivo"/>
    <w:pPr>
      <w:spacing w:after="0" w:before="0"/>
      <w:jc w:val="center"/>
    </w:pPr>
    <w:rPr>
      <w:rFonts w:ascii="Times New Roman" w:hAnsi="Times New Roman"/>
      <w:b w:val="0"/>
      <w:sz w:val="20"/>
    </w:rPr>
  </w:style>
  <w:style w:styleId="Sumrio1" w:type="paragraph">
    <w:name w:val="toc 1"/>
    <w:basedOn w:val="Index"/>
    <w:pPr>
      <w:tabs>
        <w:tab w:leader="dot" w:pos="9638" w:val="right"/>
      </w:tabs>
      <w:spacing w:after="0" w:before="0" w:line="240" w:lineRule="auto"/>
    </w:pPr>
    <w:rPr>
      <w:rFonts w:ascii="Times New Roman" w:hAnsi="Times New Roman"/>
      <w:sz w:val="20"/>
    </w:rPr>
  </w:style>
  <w:style w:styleId="Sumrio2" w:type="paragraph">
    <w:name w:val="toc 2"/>
    <w:basedOn w:val="Index"/>
    <w:pPr>
      <w:tabs>
        <w:tab w:leader="dot" w:pos="9355" w:val="right"/>
      </w:tabs>
      <w:spacing w:after="0" w:before="0" w:line="240" w:lineRule="auto"/>
    </w:pPr>
    <w:rPr>
      <w:rFonts w:ascii="Times New Roman" w:hAnsi="Times New Roman"/>
      <w:sz w:val="20"/>
    </w:rPr>
  </w:style>
  <w:style w:customStyle="1" w:styleId="Ttulo3Char" w:type="character">
    <w:name w:val="Título 3 Char"/>
    <w:basedOn w:val="Fontepargpadro"/>
    <w:link w:val="Ttulo3"/>
    <w:uiPriority w:val="9"/>
    <w:rsid w:val="006314CA"/>
    <w:rPr>
      <w:rFonts w:ascii="Times New Roman" w:cs="Mangal" w:eastAsiaTheme="majorEastAsia" w:hAnsi="Times New Roman"/>
      <w:b/>
      <w:szCs w:val="2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166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Regulação da Incorporação Imobiliária no Brasil: Uma Análise Comparativa e Propostas de Reformulação</dc:title>
  <dc:creator>Alceu Eilert Nascimento</dc:creator>
  <cp:keywords/>
  <dcterms:created xsi:type="dcterms:W3CDTF">2024-10-19T10:30:00Z</dcterms:created>
  <dcterms:modified xsi:type="dcterms:W3CDTF">2024-10-19T10:30:00Z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bibliografia.bib</vt:lpwstr>
  </property>
  <property fmtid="{D5CDD505-2E9C-101B-9397-08002B2CF9AE}" pid="5" name="by-author">
    <vt:lpwstr/>
  </property>
  <property fmtid="{D5CDD505-2E9C-101B-9397-08002B2CF9AE}" pid="6" name="csl">
    <vt:lpwstr>abnt_alceu.csl</vt:lpwstr>
  </property>
  <property fmtid="{D5CDD505-2E9C-101B-9397-08002B2CF9AE}" pid="7" name="date">
    <vt:lpwstr>2024-08-25</vt:lpwstr>
  </property>
  <property fmtid="{D5CDD505-2E9C-101B-9397-08002B2CF9AE}" pid="8" name="endnote">
    <vt:lpwstr>no</vt:lpwstr>
  </property>
  <property fmtid="{D5CDD505-2E9C-101B-9397-08002B2CF9AE}" pid="9" name="geometry">
    <vt:lpwstr>left=3cm, right=2cm, top=3cm, bottom=2cm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keep_tex">
    <vt:lpwstr>True</vt:lpwstr>
  </property>
  <property fmtid="{D5CDD505-2E9C-101B-9397-08002B2CF9AE}" pid="14" name="labels">
    <vt:lpwstr/>
  </property>
  <property fmtid="{D5CDD505-2E9C-101B-9397-08002B2CF9AE}" pid="15" name="link-citations">
    <vt:lpwstr>True</vt:lpwstr>
  </property>
  <property fmtid="{D5CDD505-2E9C-101B-9397-08002B2CF9AE}" pid="16" name="subtitle">
    <vt:lpwstr>Uma Análise sob a Ótica da Regulação e dos Incentivos Econômicos</vt:lpwstr>
  </property>
  <property fmtid="{D5CDD505-2E9C-101B-9397-08002B2CF9AE}" pid="17" name="toc-title">
    <vt:lpwstr>Table of contents</vt:lpwstr>
  </property>
</Properties>
</file>