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8DDF" w14:textId="77777777" w:rsidR="002E42A9" w:rsidRPr="002E42A9" w:rsidRDefault="002E42A9" w:rsidP="002E42A9">
      <w:pPr>
        <w:spacing w:after="100" w:afterAutospacing="1" w:line="240" w:lineRule="auto"/>
        <w:outlineLvl w:val="0"/>
        <w:rPr>
          <w:rFonts w:ascii="Arial" w:eastAsia="Times New Roman" w:hAnsi="Arial" w:cs="Arial"/>
          <w:b/>
          <w:bCs/>
          <w:color w:val="000000"/>
          <w:kern w:val="36"/>
          <w:sz w:val="48"/>
          <w:szCs w:val="48"/>
          <w:lang w:eastAsia="pt-BR"/>
          <w14:ligatures w14:val="none"/>
        </w:rPr>
      </w:pPr>
      <w:r w:rsidRPr="002E42A9">
        <w:rPr>
          <w:rFonts w:ascii="Arial" w:eastAsia="Times New Roman" w:hAnsi="Arial" w:cs="Arial"/>
          <w:b/>
          <w:bCs/>
          <w:color w:val="000000"/>
          <w:kern w:val="36"/>
          <w:sz w:val="48"/>
          <w:szCs w:val="48"/>
          <w:lang w:eastAsia="pt-BR"/>
          <w14:ligatures w14:val="none"/>
        </w:rPr>
        <w:t>Arquitetura de Plataformas de Inteligência Financeira de Nova Geração: Um Blueprint Técnico Exaustivo para Visualização de DRE e DFC</w:t>
      </w:r>
    </w:p>
    <w:p w14:paraId="324275FC"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Sumário Executivo e Visão Geral Estratégica</w:t>
      </w:r>
    </w:p>
    <w:p w14:paraId="3AB51372"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engenharia de software aplicada ao domínio financeiro atravessa um ponto de inflexão crítico. A transição de planilhas estáticas e sistemas ERP monolíticos para dashboards analíticos interativos exige uma reavaliação completa da pilha tecnológica (</w:t>
      </w:r>
      <w:r w:rsidRPr="002E42A9">
        <w:rPr>
          <w:rFonts w:ascii="Arial" w:eastAsia="Times New Roman" w:hAnsi="Arial" w:cs="Arial"/>
          <w:i/>
          <w:iCs/>
          <w:color w:val="000000"/>
          <w:kern w:val="0"/>
          <w:lang w:eastAsia="pt-BR"/>
          <w14:ligatures w14:val="none"/>
        </w:rPr>
        <w:t>tech stack</w:t>
      </w:r>
      <w:r w:rsidRPr="002E42A9">
        <w:rPr>
          <w:rFonts w:ascii="Arial" w:eastAsia="Times New Roman" w:hAnsi="Arial" w:cs="Arial"/>
          <w:color w:val="000000"/>
          <w:kern w:val="0"/>
          <w:lang w:eastAsia="pt-BR"/>
          <w14:ligatures w14:val="none"/>
        </w:rPr>
        <w:t>). No contexto da solicitação para desenvolver uma solução capaz de processar e visualizar Demonstrativos de Resultados do Exercício (DRE) e Demonstrativos de Fluxo de Caixa (DFC), utilizando tecnologias modernas como Next.js, Tailwind e o protocolo de inteligência MCP, o desafio não reside apenas na seleção de ferramentas, mas na orquestração de uma arquitetura que suporte densidade de dados, precisão decimal e auditabilidade semântica.</w:t>
      </w:r>
    </w:p>
    <w:p w14:paraId="4FB7E085"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Este relatório técnico propõe uma arquitetura de referência detalhada, desenhada especificamente para lidar com a complexidade inerente aos dados da entidade "VOLPE" e seus relatórios unificados.</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A análise dos artefatos de pesquisa revela um cenário de dados heterogêneo: de um lado, microtransações de taxas de cartão de crédito (e.g., valores de R$ 0,02 a R$ 0,19 via Stone/Visa Electron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que geram volume massivo; de outro, obrigações fiscais de longo prazo parceladas em dezenas de meses (e.g., Parcelamento CSLL em 60 vezes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A pilha tecnológica recomendada — centrada no </w:t>
      </w:r>
      <w:r w:rsidRPr="002E42A9">
        <w:rPr>
          <w:rFonts w:ascii="Arial" w:eastAsia="Times New Roman" w:hAnsi="Arial" w:cs="Arial"/>
          <w:i/>
          <w:iCs/>
          <w:color w:val="000000"/>
          <w:kern w:val="0"/>
          <w:lang w:eastAsia="pt-BR"/>
          <w14:ligatures w14:val="none"/>
        </w:rPr>
        <w:t>Next.js App Router</w:t>
      </w:r>
      <w:r w:rsidRPr="002E42A9">
        <w:rPr>
          <w:rFonts w:ascii="Arial" w:eastAsia="Times New Roman" w:hAnsi="Arial" w:cs="Arial"/>
          <w:color w:val="000000"/>
          <w:kern w:val="0"/>
          <w:lang w:eastAsia="pt-BR"/>
          <w14:ligatures w14:val="none"/>
        </w:rPr>
        <w:t>, estilizada com </w:t>
      </w:r>
      <w:r w:rsidRPr="002E42A9">
        <w:rPr>
          <w:rFonts w:ascii="Arial" w:eastAsia="Times New Roman" w:hAnsi="Arial" w:cs="Arial"/>
          <w:i/>
          <w:iCs/>
          <w:color w:val="000000"/>
          <w:kern w:val="0"/>
          <w:lang w:eastAsia="pt-BR"/>
          <w14:ligatures w14:val="none"/>
        </w:rPr>
        <w:t>Tailwind</w:t>
      </w:r>
      <w:r w:rsidRPr="002E42A9">
        <w:rPr>
          <w:rFonts w:ascii="Arial" w:eastAsia="Times New Roman" w:hAnsi="Arial" w:cs="Arial"/>
          <w:color w:val="000000"/>
          <w:kern w:val="0"/>
          <w:lang w:eastAsia="pt-BR"/>
          <w14:ligatures w14:val="none"/>
        </w:rPr>
        <w:t> e </w:t>
      </w:r>
      <w:r w:rsidRPr="002E42A9">
        <w:rPr>
          <w:rFonts w:ascii="Arial" w:eastAsia="Times New Roman" w:hAnsi="Arial" w:cs="Arial"/>
          <w:i/>
          <w:iCs/>
          <w:color w:val="000000"/>
          <w:kern w:val="0"/>
          <w:lang w:eastAsia="pt-BR"/>
          <w14:ligatures w14:val="none"/>
        </w:rPr>
        <w:t>ShadcnUI</w:t>
      </w:r>
      <w:r w:rsidRPr="002E42A9">
        <w:rPr>
          <w:rFonts w:ascii="Arial" w:eastAsia="Times New Roman" w:hAnsi="Arial" w:cs="Arial"/>
          <w:color w:val="000000"/>
          <w:kern w:val="0"/>
          <w:lang w:eastAsia="pt-BR"/>
          <w14:ligatures w14:val="none"/>
        </w:rPr>
        <w:t>, gerenciada por </w:t>
      </w:r>
      <w:r w:rsidRPr="002E42A9">
        <w:rPr>
          <w:rFonts w:ascii="Arial" w:eastAsia="Times New Roman" w:hAnsi="Arial" w:cs="Arial"/>
          <w:i/>
          <w:iCs/>
          <w:color w:val="000000"/>
          <w:kern w:val="0"/>
          <w:lang w:eastAsia="pt-BR"/>
          <w14:ligatures w14:val="none"/>
        </w:rPr>
        <w:t>Zustand</w:t>
      </w:r>
      <w:r w:rsidRPr="002E42A9">
        <w:rPr>
          <w:rFonts w:ascii="Arial" w:eastAsia="Times New Roman" w:hAnsi="Arial" w:cs="Arial"/>
          <w:color w:val="000000"/>
          <w:kern w:val="0"/>
          <w:lang w:eastAsia="pt-BR"/>
          <w14:ligatures w14:val="none"/>
        </w:rPr>
        <w:t> e </w:t>
      </w:r>
      <w:r w:rsidRPr="002E42A9">
        <w:rPr>
          <w:rFonts w:ascii="Arial" w:eastAsia="Times New Roman" w:hAnsi="Arial" w:cs="Arial"/>
          <w:i/>
          <w:iCs/>
          <w:color w:val="000000"/>
          <w:kern w:val="0"/>
          <w:lang w:eastAsia="pt-BR"/>
          <w14:ligatures w14:val="none"/>
        </w:rPr>
        <w:t>TanStack Table</w:t>
      </w:r>
      <w:r w:rsidRPr="002E42A9">
        <w:rPr>
          <w:rFonts w:ascii="Arial" w:eastAsia="Times New Roman" w:hAnsi="Arial" w:cs="Arial"/>
          <w:color w:val="000000"/>
          <w:kern w:val="0"/>
          <w:lang w:eastAsia="pt-BR"/>
          <w14:ligatures w14:val="none"/>
        </w:rPr>
        <w:t>, e aumentada por servidores </w:t>
      </w:r>
      <w:r w:rsidRPr="002E42A9">
        <w:rPr>
          <w:rFonts w:ascii="Arial" w:eastAsia="Times New Roman" w:hAnsi="Arial" w:cs="Arial"/>
          <w:i/>
          <w:iCs/>
          <w:color w:val="000000"/>
          <w:kern w:val="0"/>
          <w:lang w:eastAsia="pt-BR"/>
          <w14:ligatures w14:val="none"/>
        </w:rPr>
        <w:t>MCP</w:t>
      </w:r>
      <w:r w:rsidRPr="002E42A9">
        <w:rPr>
          <w:rFonts w:ascii="Arial" w:eastAsia="Times New Roman" w:hAnsi="Arial" w:cs="Arial"/>
          <w:color w:val="000000"/>
          <w:kern w:val="0"/>
          <w:lang w:eastAsia="pt-BR"/>
          <w14:ligatures w14:val="none"/>
        </w:rPr>
        <w:t> — é a única combinação capaz de oferecer a performance de renderização e a profundidade analítica exigidas.</w:t>
      </w:r>
    </w:p>
    <w:p w14:paraId="5C2D1B91"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superioridade desta abordagem em relação às referências de mercado reside na implementação de uma interface de "Drill-Down Modal" contextual, alimentada por </w:t>
      </w:r>
      <w:r w:rsidRPr="002E42A9">
        <w:rPr>
          <w:rFonts w:ascii="Arial" w:eastAsia="Times New Roman" w:hAnsi="Arial" w:cs="Arial"/>
          <w:i/>
          <w:iCs/>
          <w:color w:val="000000"/>
          <w:kern w:val="0"/>
          <w:lang w:eastAsia="pt-BR"/>
          <w14:ligatures w14:val="none"/>
        </w:rPr>
        <w:t>React Server Components</w:t>
      </w:r>
      <w:r w:rsidRPr="002E42A9">
        <w:rPr>
          <w:rFonts w:ascii="Arial" w:eastAsia="Times New Roman" w:hAnsi="Arial" w:cs="Arial"/>
          <w:color w:val="000000"/>
          <w:kern w:val="0"/>
          <w:lang w:eastAsia="pt-BR"/>
          <w14:ligatures w14:val="none"/>
        </w:rPr>
        <w:t> (RSC) e inteligência artificial via MCP. Isso permite que o sistema não apenas exiba o prejuízo em uma linha de "Manutenção Predial" no DRE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mas permita ao usuário dialogar com os dados para descobrir a causa raiz nas transações subjacentes.</w:t>
      </w:r>
    </w:p>
    <w:p w14:paraId="49876DEE"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13938E7F">
          <v:rect id="_x0000_i1033" alt="" style="width:425.2pt;height:.05pt;mso-width-percent:0;mso-height-percent:0;mso-width-percent:0;mso-height-percent:0" o:hralign="center" o:hrstd="t" o:hr="t" fillcolor="#a0a0a0" stroked="f"/>
        </w:pict>
      </w:r>
    </w:p>
    <w:p w14:paraId="6B911EA5"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Parte 1: O Núcleo da Arquitetura — Next.js App Router e Estratégias de Renderização</w:t>
      </w:r>
    </w:p>
    <w:p w14:paraId="3951A251"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lastRenderedPageBreak/>
        <w:t>A escolha do framework Next.js, especificamente operando sob o paradigma do App Router, transcende a preferência sintática; é uma decisão arquitetural fundamental para garantir a viabilidade de processamento de grandes volumes de dados financeiros no lado do servidor, protegendo a performance do cliente.</w:t>
      </w:r>
    </w:p>
    <w:p w14:paraId="0BCCD95E"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1.1 React Server Components (RSC) como Motor de Agregação Financeira</w:t>
      </w:r>
    </w:p>
    <w:p w14:paraId="4CBB99C1"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análise do arquivo </w:t>
      </w:r>
      <w:r w:rsidRPr="002E42A9">
        <w:rPr>
          <w:rFonts w:ascii="Arial" w:eastAsia="Times New Roman" w:hAnsi="Arial" w:cs="Arial"/>
          <w:color w:val="000000"/>
          <w:kern w:val="0"/>
          <w:sz w:val="20"/>
          <w:szCs w:val="20"/>
          <w:lang w:eastAsia="pt-BR"/>
          <w14:ligatures w14:val="none"/>
        </w:rPr>
        <w:t>DRE-F360_LOJA 1 - VOLPE.xlsx - DRE.csv</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demonstra que um DRE é, essencialmente, uma árvore hierárquica de agregações. Categorias como "4. Despesas" contêm subcategorias como "4.11 - Serviços Terceiros PF", que por sua vez agregam transações individuais. Em aplicações Single Page Applications (SPA) tradicionais, o navegador seria responsável por baixar todas as transações, analisá-las e somá-las. Com milhares de linhas de taxas de cartão (Stone, GetNet, Elo, Visa) visíveis no Relatório Unificado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essa abordagem travaria a thread principal do navegador.</w:t>
      </w:r>
    </w:p>
    <w:p w14:paraId="54065A34"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arquitetura proposta utiliza RSCs para realizar a "Agregação na Borda" (</w:t>
      </w:r>
      <w:r w:rsidRPr="002E42A9">
        <w:rPr>
          <w:rFonts w:ascii="Arial" w:eastAsia="Times New Roman" w:hAnsi="Arial" w:cs="Arial"/>
          <w:i/>
          <w:iCs/>
          <w:color w:val="000000"/>
          <w:kern w:val="0"/>
          <w:lang w:eastAsia="pt-BR"/>
          <w14:ligatures w14:val="none"/>
        </w:rPr>
        <w:t>Edge Aggregation</w:t>
      </w:r>
      <w:r w:rsidRPr="002E42A9">
        <w:rPr>
          <w:rFonts w:ascii="Arial" w:eastAsia="Times New Roman" w:hAnsi="Arial" w:cs="Arial"/>
          <w:color w:val="000000"/>
          <w:kern w:val="0"/>
          <w:lang w:eastAsia="pt-BR"/>
          <w14:ligatures w14:val="none"/>
        </w:rPr>
        <w:t>):</w:t>
      </w:r>
    </w:p>
    <w:p w14:paraId="12BF559C" w14:textId="77777777" w:rsidR="002E42A9" w:rsidRPr="002E42A9" w:rsidRDefault="002E42A9" w:rsidP="002E42A9">
      <w:pPr>
        <w:numPr>
          <w:ilvl w:val="0"/>
          <w:numId w:val="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Ingestão e Processamento:</w:t>
      </w:r>
      <w:r w:rsidRPr="002E42A9">
        <w:rPr>
          <w:rFonts w:ascii="Arial" w:eastAsia="Times New Roman" w:hAnsi="Arial" w:cs="Arial"/>
          <w:color w:val="000000"/>
          <w:kern w:val="0"/>
          <w:lang w:eastAsia="pt-BR"/>
          <w14:ligatures w14:val="none"/>
        </w:rPr>
        <w:t> O componente de servidor (</w:t>
      </w:r>
      <w:r w:rsidRPr="002E42A9">
        <w:rPr>
          <w:rFonts w:ascii="Arial" w:eastAsia="Times New Roman" w:hAnsi="Arial" w:cs="Arial"/>
          <w:color w:val="000000"/>
          <w:kern w:val="0"/>
          <w:sz w:val="20"/>
          <w:szCs w:val="20"/>
          <w:lang w:eastAsia="pt-BR"/>
          <w14:ligatures w14:val="none"/>
        </w:rPr>
        <w:t>page.tsx</w:t>
      </w:r>
      <w:r w:rsidRPr="002E42A9">
        <w:rPr>
          <w:rFonts w:ascii="Arial" w:eastAsia="Times New Roman" w:hAnsi="Arial" w:cs="Arial"/>
          <w:color w:val="000000"/>
          <w:kern w:val="0"/>
          <w:lang w:eastAsia="pt-BR"/>
          <w14:ligatures w14:val="none"/>
        </w:rPr>
        <w:t> do dashboard) conecta-se diretamente ao banco de dados (populado a partir dos CSVs).</w:t>
      </w:r>
    </w:p>
    <w:p w14:paraId="5143F78B" w14:textId="77777777" w:rsidR="002E42A9" w:rsidRPr="002E42A9" w:rsidRDefault="002E42A9" w:rsidP="002E42A9">
      <w:pPr>
        <w:numPr>
          <w:ilvl w:val="0"/>
          <w:numId w:val="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Cálculo Server-Side:</w:t>
      </w:r>
      <w:r w:rsidRPr="002E42A9">
        <w:rPr>
          <w:rFonts w:ascii="Arial" w:eastAsia="Times New Roman" w:hAnsi="Arial" w:cs="Arial"/>
          <w:color w:val="000000"/>
          <w:kern w:val="0"/>
          <w:lang w:eastAsia="pt-BR"/>
          <w14:ligatures w14:val="none"/>
        </w:rPr>
        <w:t> A lógica de negócio executa as somas de colunas como "Valor Líquido" e "Valor Bruto"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agrupadas por "Competência" e "Plano de Contas". O cálculo de juros passivos sobre parcelamentos (e.g., as parcelas do ICMS que variam de R$ 671,90 com acréscimos de juros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é resolvido no servidor.</w:t>
      </w:r>
    </w:p>
    <w:p w14:paraId="377C8057" w14:textId="77777777" w:rsidR="002E42A9" w:rsidRPr="002E42A9" w:rsidRDefault="002E42A9" w:rsidP="002E42A9">
      <w:pPr>
        <w:numPr>
          <w:ilvl w:val="0"/>
          <w:numId w:val="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Serialização Seletiva:</w:t>
      </w:r>
      <w:r w:rsidRPr="002E42A9">
        <w:rPr>
          <w:rFonts w:ascii="Arial" w:eastAsia="Times New Roman" w:hAnsi="Arial" w:cs="Arial"/>
          <w:color w:val="000000"/>
          <w:kern w:val="0"/>
          <w:lang w:eastAsia="pt-BR"/>
          <w14:ligatures w14:val="none"/>
        </w:rPr>
        <w:t> O servidor envia ao cliente apenas o JSON da estrutura da árvore do DRE já calculada. O peso do transporte de dados é reduzido em ordens de magnitude, pois as milhares de linhas de micro-taxas de R$ 0,02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não precisam trafegar pela rede a menos que o usuário solicite explicitamente um detalhamento.</w:t>
      </w:r>
    </w:p>
    <w:p w14:paraId="3E545236"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1.2 Streaming e Suspense para Interfaces Financeiras Híbridas</w:t>
      </w:r>
    </w:p>
    <w:p w14:paraId="43E2BBD5"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Dashboards financeiros são compostos por widgets com diferentes perfis de latência. O DRE, que exige agregação complexa, pode demorar mais para carregar do que um simples card de "Saldo em Caixa". A arquitetura utiliza limites de </w:t>
      </w:r>
      <w:r w:rsidRPr="002E42A9">
        <w:rPr>
          <w:rFonts w:ascii="Arial" w:eastAsia="Times New Roman" w:hAnsi="Arial" w:cs="Arial"/>
          <w:color w:val="000000"/>
          <w:kern w:val="0"/>
          <w:sz w:val="20"/>
          <w:szCs w:val="20"/>
          <w:lang w:eastAsia="pt-BR"/>
          <w14:ligatures w14:val="none"/>
        </w:rPr>
        <w:t>&lt;Suspense&gt;</w:t>
      </w:r>
      <w:r w:rsidRPr="002E42A9">
        <w:rPr>
          <w:rFonts w:ascii="Arial" w:eastAsia="Times New Roman" w:hAnsi="Arial" w:cs="Arial"/>
          <w:color w:val="000000"/>
          <w:kern w:val="0"/>
          <w:lang w:eastAsia="pt-BR"/>
          <w14:ligatures w14:val="none"/>
        </w:rPr>
        <w:t> do React para implementar o </w:t>
      </w:r>
      <w:r w:rsidRPr="002E42A9">
        <w:rPr>
          <w:rFonts w:ascii="Arial" w:eastAsia="Times New Roman" w:hAnsi="Arial" w:cs="Arial"/>
          <w:i/>
          <w:iCs/>
          <w:color w:val="000000"/>
          <w:kern w:val="0"/>
          <w:lang w:eastAsia="pt-BR"/>
          <w14:ligatures w14:val="none"/>
        </w:rPr>
        <w:t>Streaming SSR</w:t>
      </w:r>
      <w:r w:rsidRPr="002E42A9">
        <w:rPr>
          <w:rFonts w:ascii="Arial" w:eastAsia="Times New Roman" w:hAnsi="Arial" w:cs="Arial"/>
          <w:color w:val="000000"/>
          <w:kern w:val="0"/>
          <w:lang w:eastAsia="pt-BR"/>
          <w14:ligatures w14:val="none"/>
        </w:rPr>
        <w:t>.</w:t>
      </w:r>
    </w:p>
    <w:p w14:paraId="6C4CA887"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Isso permite que a estrutura do dashboard (o "shell" com a navegação lateral e os filtros de data) seja renderizada instantaneamente. Em seguida, os componentes de dados mais pesados — como a visualização do fluxo de caixa projetado para 2025/2026 com base nos parcelamentos de longo prazo do IRPJ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 são transmitidos progressivamente ("streamed") para seus respectivos slots na interface. Isso elimina a "tela branca" de carregamento total, proporcionando uma percepção de velocidade superior.</w:t>
      </w:r>
    </w:p>
    <w:p w14:paraId="53EA2E31"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1.3 Server Actions para Mutações Seguras e Progressivas</w:t>
      </w:r>
    </w:p>
    <w:p w14:paraId="59FADDE6"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lastRenderedPageBreak/>
        <w:t>A interatividade em dashboards financeiros não é apenas leitura; envolve categorização e ajuste. O documento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mostra registros como "Registro criado manualmente durante a conciliação bancária". Para permitir que o usuário crie ou edite tais registros, utilizamos </w:t>
      </w:r>
      <w:r w:rsidRPr="002E42A9">
        <w:rPr>
          <w:rFonts w:ascii="Arial" w:eastAsia="Times New Roman" w:hAnsi="Arial" w:cs="Arial"/>
          <w:b/>
          <w:bCs/>
          <w:color w:val="000000"/>
          <w:kern w:val="0"/>
          <w:lang w:eastAsia="pt-BR"/>
          <w14:ligatures w14:val="none"/>
        </w:rPr>
        <w:t>Server Actions</w:t>
      </w:r>
      <w:r w:rsidRPr="002E42A9">
        <w:rPr>
          <w:rFonts w:ascii="Arial" w:eastAsia="Times New Roman" w:hAnsi="Arial" w:cs="Arial"/>
          <w:color w:val="000000"/>
          <w:kern w:val="0"/>
          <w:lang w:eastAsia="pt-BR"/>
          <w14:ligatures w14:val="none"/>
        </w:rPr>
        <w:t>.</w:t>
      </w:r>
    </w:p>
    <w:p w14:paraId="081FA111"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Ao contrário de criar uma API REST separada, as Server Actions permitem invocar funções assíncronas diretamente dos componentes de UI (como um formulário de edição dentro de um Modal Radix). Isso garante:</w:t>
      </w:r>
    </w:p>
    <w:p w14:paraId="4072BADB" w14:textId="77777777" w:rsidR="002E42A9" w:rsidRPr="002E42A9" w:rsidRDefault="002E42A9" w:rsidP="002E42A9">
      <w:pPr>
        <w:numPr>
          <w:ilvl w:val="0"/>
          <w:numId w:val="2"/>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Segurança de Tipos:</w:t>
      </w:r>
      <w:r w:rsidRPr="002E42A9">
        <w:rPr>
          <w:rFonts w:ascii="Arial" w:eastAsia="Times New Roman" w:hAnsi="Arial" w:cs="Arial"/>
          <w:color w:val="000000"/>
          <w:kern w:val="0"/>
          <w:lang w:eastAsia="pt-BR"/>
          <w14:ligatures w14:val="none"/>
        </w:rPr>
        <w:t> O payload da transação (Data, Valor, Centro de Custo) é tipado de ponta a ponta.</w:t>
      </w:r>
    </w:p>
    <w:p w14:paraId="0C772772" w14:textId="77777777" w:rsidR="002E42A9" w:rsidRPr="002E42A9" w:rsidRDefault="002E42A9" w:rsidP="002E42A9">
      <w:pPr>
        <w:numPr>
          <w:ilvl w:val="0"/>
          <w:numId w:val="2"/>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Revalidação de Cache:</w:t>
      </w:r>
      <w:r w:rsidRPr="002E42A9">
        <w:rPr>
          <w:rFonts w:ascii="Arial" w:eastAsia="Times New Roman" w:hAnsi="Arial" w:cs="Arial"/>
          <w:color w:val="000000"/>
          <w:kern w:val="0"/>
          <w:lang w:eastAsia="pt-BR"/>
          <w14:ligatures w14:val="none"/>
        </w:rPr>
        <w:t> Após a mutação (e.g., corrigir a classificação de uma despesa de "423-4 - Internet" para "409-7 - Serviços Terceiros PF"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a ação pode invocar </w:t>
      </w:r>
      <w:r w:rsidRPr="002E42A9">
        <w:rPr>
          <w:rFonts w:ascii="Arial" w:eastAsia="Times New Roman" w:hAnsi="Arial" w:cs="Arial"/>
          <w:color w:val="000000"/>
          <w:kern w:val="0"/>
          <w:sz w:val="20"/>
          <w:szCs w:val="20"/>
          <w:lang w:eastAsia="pt-BR"/>
          <w14:ligatures w14:val="none"/>
        </w:rPr>
        <w:t>revalidatePath('/dashboard/dre')</w:t>
      </w:r>
      <w:r w:rsidRPr="002E42A9">
        <w:rPr>
          <w:rFonts w:ascii="Arial" w:eastAsia="Times New Roman" w:hAnsi="Arial" w:cs="Arial"/>
          <w:color w:val="000000"/>
          <w:kern w:val="0"/>
          <w:lang w:eastAsia="pt-BR"/>
          <w14:ligatures w14:val="none"/>
        </w:rPr>
        <w:t>, fazendo com que o Next.js automaticamente recalcule e atualize os dados do DRE na interface do usuário sem a necessidade de gerenciamento de estado complexo no cliente.</w:t>
      </w:r>
    </w:p>
    <w:p w14:paraId="5231099E"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35249E1B">
          <v:rect id="_x0000_i1032" alt="" style="width:425.2pt;height:.05pt;mso-width-percent:0;mso-height-percent:0;mso-width-percent:0;mso-height-percent:0" o:hralign="center" o:hrstd="t" o:hr="t" fillcolor="#a0a0a0" stroked="f"/>
        </w:pict>
      </w:r>
    </w:p>
    <w:p w14:paraId="3E4ADDFF"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Parte 2: Design System e Interface — Tailwind, Radix UI e ShadcnUI</w:t>
      </w:r>
    </w:p>
    <w:p w14:paraId="5933532E"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precisão visual em sistemas financeiros é um requisito funcional. A legibilidade de tabelas densas, a clareza de status (Liquidado vs. A Vencer) e a acessibilidade são imperativos que justificam a escolha da tríade Tailwind, Radix e ShadcnUI.</w:t>
      </w:r>
    </w:p>
    <w:p w14:paraId="210AF9DC"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2.1 A Semântica Visual Financeira com Tailwind CSS</w:t>
      </w:r>
    </w:p>
    <w:p w14:paraId="3D2020D9"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O Tailwind CSS permite a criação de um sistema de design focado na densidade de informação ("High Density UI"). Os dados do VOLPE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possuem muitas colunas críticas: Emissão, Vencimento, Liquidação, Valor Bruto, Centro de Custos, Conta, Status. Para exibir isso eficazmente:</w:t>
      </w:r>
    </w:p>
    <w:p w14:paraId="1498F9F4" w14:textId="77777777" w:rsidR="002E42A9" w:rsidRPr="002E42A9" w:rsidRDefault="002E42A9" w:rsidP="002E42A9">
      <w:pPr>
        <w:numPr>
          <w:ilvl w:val="0"/>
          <w:numId w:val="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Tipografia Tabular:</w:t>
      </w:r>
      <w:r w:rsidRPr="002E42A9">
        <w:rPr>
          <w:rFonts w:ascii="Arial" w:eastAsia="Times New Roman" w:hAnsi="Arial" w:cs="Arial"/>
          <w:color w:val="000000"/>
          <w:kern w:val="0"/>
          <w:lang w:eastAsia="pt-BR"/>
          <w14:ligatures w14:val="none"/>
        </w:rPr>
        <w:t> A classe </w:t>
      </w:r>
      <w:r w:rsidRPr="002E42A9">
        <w:rPr>
          <w:rFonts w:ascii="Arial" w:eastAsia="Times New Roman" w:hAnsi="Arial" w:cs="Arial"/>
          <w:color w:val="000000"/>
          <w:kern w:val="0"/>
          <w:sz w:val="20"/>
          <w:szCs w:val="20"/>
          <w:lang w:eastAsia="pt-BR"/>
          <w14:ligatures w14:val="none"/>
        </w:rPr>
        <w:t>tabular-nums</w:t>
      </w:r>
      <w:r w:rsidRPr="002E42A9">
        <w:rPr>
          <w:rFonts w:ascii="Arial" w:eastAsia="Times New Roman" w:hAnsi="Arial" w:cs="Arial"/>
          <w:color w:val="000000"/>
          <w:kern w:val="0"/>
          <w:lang w:eastAsia="pt-BR"/>
          <w14:ligatures w14:val="none"/>
        </w:rPr>
        <w:t> é essencial. Ela força todos os dígitos numéricos a terem a mesma largura, garantindo que, em uma coluna de valores monetários, as vírgulas decimais e as casas de milhar se alinhem verticalmente. Sem isso, a comparação rápida de valores como "1.606,70" e "4.337,39"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torna-se cognitivamente exaustiva.</w:t>
      </w:r>
    </w:p>
    <w:p w14:paraId="4BB9C64E" w14:textId="77777777" w:rsidR="002E42A9" w:rsidRPr="002E42A9" w:rsidRDefault="002E42A9" w:rsidP="002E42A9">
      <w:pPr>
        <w:numPr>
          <w:ilvl w:val="0"/>
          <w:numId w:val="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Paleta Semântica Estendida:</w:t>
      </w:r>
      <w:r w:rsidRPr="002E42A9">
        <w:rPr>
          <w:rFonts w:ascii="Arial" w:eastAsia="Times New Roman" w:hAnsi="Arial" w:cs="Arial"/>
          <w:color w:val="000000"/>
          <w:kern w:val="0"/>
          <w:lang w:eastAsia="pt-BR"/>
          <w14:ligatures w14:val="none"/>
        </w:rPr>
        <w:t> O design não deve se limitar a verde e vermelho.</w:t>
      </w:r>
    </w:p>
    <w:p w14:paraId="30F96ECF" w14:textId="77777777" w:rsidR="002E42A9" w:rsidRPr="002E42A9" w:rsidRDefault="002E42A9" w:rsidP="002E42A9">
      <w:pPr>
        <w:numPr>
          <w:ilvl w:val="1"/>
          <w:numId w:val="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Receita (A Receber):</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sz w:val="20"/>
          <w:szCs w:val="20"/>
          <w:lang w:eastAsia="pt-BR"/>
          <w14:ligatures w14:val="none"/>
        </w:rPr>
        <w:t>text-emerald-700</w:t>
      </w:r>
      <w:r w:rsidRPr="002E42A9">
        <w:rPr>
          <w:rFonts w:ascii="Arial" w:eastAsia="Times New Roman" w:hAnsi="Arial" w:cs="Arial"/>
          <w:color w:val="000000"/>
          <w:kern w:val="0"/>
          <w:lang w:eastAsia="pt-BR"/>
          <w14:ligatures w14:val="none"/>
        </w:rPr>
        <w:t> / </w:t>
      </w:r>
      <w:r w:rsidRPr="002E42A9">
        <w:rPr>
          <w:rFonts w:ascii="Arial" w:eastAsia="Times New Roman" w:hAnsi="Arial" w:cs="Arial"/>
          <w:color w:val="000000"/>
          <w:kern w:val="0"/>
          <w:sz w:val="20"/>
          <w:szCs w:val="20"/>
          <w:lang w:eastAsia="pt-BR"/>
          <w14:ligatures w14:val="none"/>
        </w:rPr>
        <w:t>bg-emerald-50</w:t>
      </w:r>
      <w:r w:rsidRPr="002E42A9">
        <w:rPr>
          <w:rFonts w:ascii="Arial" w:eastAsia="Times New Roman" w:hAnsi="Arial" w:cs="Arial"/>
          <w:color w:val="000000"/>
          <w:kern w:val="0"/>
          <w:lang w:eastAsia="pt-BR"/>
          <w14:ligatures w14:val="none"/>
        </w:rPr>
        <w:t>.</w:t>
      </w:r>
    </w:p>
    <w:p w14:paraId="6C1CD82F" w14:textId="77777777" w:rsidR="002E42A9" w:rsidRPr="002E42A9" w:rsidRDefault="002E42A9" w:rsidP="002E42A9">
      <w:pPr>
        <w:numPr>
          <w:ilvl w:val="1"/>
          <w:numId w:val="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Despesa (A Pagar):</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sz w:val="20"/>
          <w:szCs w:val="20"/>
          <w:lang w:eastAsia="pt-BR"/>
          <w14:ligatures w14:val="none"/>
        </w:rPr>
        <w:t>text-rose-700</w:t>
      </w:r>
      <w:r w:rsidRPr="002E42A9">
        <w:rPr>
          <w:rFonts w:ascii="Arial" w:eastAsia="Times New Roman" w:hAnsi="Arial" w:cs="Arial"/>
          <w:color w:val="000000"/>
          <w:kern w:val="0"/>
          <w:lang w:eastAsia="pt-BR"/>
          <w14:ligatures w14:val="none"/>
        </w:rPr>
        <w:t> / </w:t>
      </w:r>
      <w:r w:rsidRPr="002E42A9">
        <w:rPr>
          <w:rFonts w:ascii="Arial" w:eastAsia="Times New Roman" w:hAnsi="Arial" w:cs="Arial"/>
          <w:color w:val="000000"/>
          <w:kern w:val="0"/>
          <w:sz w:val="20"/>
          <w:szCs w:val="20"/>
          <w:lang w:eastAsia="pt-BR"/>
          <w14:ligatures w14:val="none"/>
        </w:rPr>
        <w:t>bg-rose-50</w:t>
      </w:r>
      <w:r w:rsidRPr="002E42A9">
        <w:rPr>
          <w:rFonts w:ascii="Arial" w:eastAsia="Times New Roman" w:hAnsi="Arial" w:cs="Arial"/>
          <w:color w:val="000000"/>
          <w:kern w:val="0"/>
          <w:lang w:eastAsia="pt-BR"/>
          <w14:ligatures w14:val="none"/>
        </w:rPr>
        <w:t>.</w:t>
      </w:r>
    </w:p>
    <w:p w14:paraId="299E6CE0" w14:textId="77777777" w:rsidR="002E42A9" w:rsidRPr="002E42A9" w:rsidRDefault="002E42A9" w:rsidP="002E42A9">
      <w:pPr>
        <w:numPr>
          <w:ilvl w:val="1"/>
          <w:numId w:val="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Projeção/Aberto:</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sz w:val="20"/>
          <w:szCs w:val="20"/>
          <w:lang w:eastAsia="pt-BR"/>
          <w14:ligatures w14:val="none"/>
        </w:rPr>
        <w:t>text-amber-600</w:t>
      </w:r>
      <w:r w:rsidRPr="002E42A9">
        <w:rPr>
          <w:rFonts w:ascii="Arial" w:eastAsia="Times New Roman" w:hAnsi="Arial" w:cs="Arial"/>
          <w:color w:val="000000"/>
          <w:kern w:val="0"/>
          <w:lang w:eastAsia="pt-BR"/>
          <w14:ligatures w14:val="none"/>
        </w:rPr>
        <w:t> / </w:t>
      </w:r>
      <w:r w:rsidRPr="002E42A9">
        <w:rPr>
          <w:rFonts w:ascii="Arial" w:eastAsia="Times New Roman" w:hAnsi="Arial" w:cs="Arial"/>
          <w:color w:val="000000"/>
          <w:kern w:val="0"/>
          <w:sz w:val="20"/>
          <w:szCs w:val="20"/>
          <w:lang w:eastAsia="pt-BR"/>
          <w14:ligatures w14:val="none"/>
        </w:rPr>
        <w:t>bg-amber-50</w:t>
      </w:r>
      <w:r w:rsidRPr="002E42A9">
        <w:rPr>
          <w:rFonts w:ascii="Arial" w:eastAsia="Times New Roman" w:hAnsi="Arial" w:cs="Arial"/>
          <w:color w:val="000000"/>
          <w:kern w:val="0"/>
          <w:lang w:eastAsia="pt-BR"/>
          <w14:ligatures w14:val="none"/>
        </w:rPr>
        <w:t> (Crucial para distinguir itens como "Aberto (A Vencer)" nos parcelamentos de CSLL que vão até 2026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w:t>
      </w:r>
    </w:p>
    <w:p w14:paraId="3DC39322" w14:textId="77777777" w:rsidR="002E42A9" w:rsidRPr="002E42A9" w:rsidRDefault="002E42A9" w:rsidP="002E42A9">
      <w:pPr>
        <w:numPr>
          <w:ilvl w:val="1"/>
          <w:numId w:val="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Neutro/Conciliado:</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sz w:val="20"/>
          <w:szCs w:val="20"/>
          <w:lang w:eastAsia="pt-BR"/>
          <w14:ligatures w14:val="none"/>
        </w:rPr>
        <w:t>text-slate-600</w:t>
      </w:r>
      <w:r w:rsidRPr="002E42A9">
        <w:rPr>
          <w:rFonts w:ascii="Arial" w:eastAsia="Times New Roman" w:hAnsi="Arial" w:cs="Arial"/>
          <w:color w:val="000000"/>
          <w:kern w:val="0"/>
          <w:lang w:eastAsia="pt-BR"/>
          <w14:ligatures w14:val="none"/>
        </w:rPr>
        <w:t>.</w:t>
      </w:r>
    </w:p>
    <w:p w14:paraId="12F05D51" w14:textId="77777777" w:rsidR="002E42A9" w:rsidRPr="002E42A9" w:rsidRDefault="002E42A9" w:rsidP="002E42A9">
      <w:pPr>
        <w:numPr>
          <w:ilvl w:val="0"/>
          <w:numId w:val="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Espaçamento Condensado:</w:t>
      </w:r>
      <w:r w:rsidRPr="002E42A9">
        <w:rPr>
          <w:rFonts w:ascii="Arial" w:eastAsia="Times New Roman" w:hAnsi="Arial" w:cs="Arial"/>
          <w:color w:val="000000"/>
          <w:kern w:val="0"/>
          <w:lang w:eastAsia="pt-BR"/>
          <w14:ligatures w14:val="none"/>
        </w:rPr>
        <w:t> Utilização de </w:t>
      </w:r>
      <w:r w:rsidRPr="002E42A9">
        <w:rPr>
          <w:rFonts w:ascii="Arial" w:eastAsia="Times New Roman" w:hAnsi="Arial" w:cs="Arial"/>
          <w:color w:val="000000"/>
          <w:kern w:val="0"/>
          <w:sz w:val="20"/>
          <w:szCs w:val="20"/>
          <w:lang w:eastAsia="pt-BR"/>
          <w14:ligatures w14:val="none"/>
        </w:rPr>
        <w:t>py-1</w:t>
      </w:r>
      <w:r w:rsidRPr="002E42A9">
        <w:rPr>
          <w:rFonts w:ascii="Arial" w:eastAsia="Times New Roman" w:hAnsi="Arial" w:cs="Arial"/>
          <w:color w:val="000000"/>
          <w:kern w:val="0"/>
          <w:lang w:eastAsia="pt-BR"/>
          <w14:ligatures w14:val="none"/>
        </w:rPr>
        <w:t> e </w:t>
      </w:r>
      <w:r w:rsidRPr="002E42A9">
        <w:rPr>
          <w:rFonts w:ascii="Arial" w:eastAsia="Times New Roman" w:hAnsi="Arial" w:cs="Arial"/>
          <w:color w:val="000000"/>
          <w:kern w:val="0"/>
          <w:sz w:val="20"/>
          <w:szCs w:val="20"/>
          <w:lang w:eastAsia="pt-BR"/>
          <w14:ligatures w14:val="none"/>
        </w:rPr>
        <w:t>text-sm</w:t>
      </w:r>
      <w:r w:rsidRPr="002E42A9">
        <w:rPr>
          <w:rFonts w:ascii="Arial" w:eastAsia="Times New Roman" w:hAnsi="Arial" w:cs="Arial"/>
          <w:color w:val="000000"/>
          <w:kern w:val="0"/>
          <w:lang w:eastAsia="pt-BR"/>
          <w14:ligatures w14:val="none"/>
        </w:rPr>
        <w:t> ou </w:t>
      </w:r>
      <w:r w:rsidRPr="002E42A9">
        <w:rPr>
          <w:rFonts w:ascii="Arial" w:eastAsia="Times New Roman" w:hAnsi="Arial" w:cs="Arial"/>
          <w:color w:val="000000"/>
          <w:kern w:val="0"/>
          <w:sz w:val="20"/>
          <w:szCs w:val="20"/>
          <w:lang w:eastAsia="pt-BR"/>
          <w14:ligatures w14:val="none"/>
        </w:rPr>
        <w:t>text-xs</w:t>
      </w:r>
      <w:r w:rsidRPr="002E42A9">
        <w:rPr>
          <w:rFonts w:ascii="Arial" w:eastAsia="Times New Roman" w:hAnsi="Arial" w:cs="Arial"/>
          <w:color w:val="000000"/>
          <w:kern w:val="0"/>
          <w:lang w:eastAsia="pt-BR"/>
          <w14:ligatures w14:val="none"/>
        </w:rPr>
        <w:t xml:space="preserve"> nas linhas da tabela para maximizar a quantidade de dados visíveis sem </w:t>
      </w:r>
      <w:r w:rsidRPr="002E42A9">
        <w:rPr>
          <w:rFonts w:ascii="Arial" w:eastAsia="Times New Roman" w:hAnsi="Arial" w:cs="Arial"/>
          <w:color w:val="000000"/>
          <w:kern w:val="0"/>
          <w:lang w:eastAsia="pt-BR"/>
          <w14:ligatures w14:val="none"/>
        </w:rPr>
        <w:lastRenderedPageBreak/>
        <w:t>rolagem, crucial para auditores que precisam escanear padrões em listas longas de taxas de cartão.</w:t>
      </w:r>
    </w:p>
    <w:p w14:paraId="2A38975D"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2.2 Acessibilidade e Primitivos com Radix UI</w:t>
      </w:r>
    </w:p>
    <w:p w14:paraId="58138155"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biblioteca Radix UI fornece os blocos de construção "headless" (sem estilo) que garantem a acessibilidade (a11y). Em um dashboard financeiro, o uso intenso de teclados para entrada de dados e navegação é comum.</w:t>
      </w:r>
    </w:p>
    <w:p w14:paraId="7F557CB5" w14:textId="77777777" w:rsidR="002E42A9" w:rsidRPr="002E42A9" w:rsidRDefault="002E42A9" w:rsidP="002E42A9">
      <w:pPr>
        <w:numPr>
          <w:ilvl w:val="0"/>
          <w:numId w:val="4"/>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Dialog e Sheet:</w:t>
      </w:r>
      <w:r w:rsidRPr="002E42A9">
        <w:rPr>
          <w:rFonts w:ascii="Arial" w:eastAsia="Times New Roman" w:hAnsi="Arial" w:cs="Arial"/>
          <w:color w:val="000000"/>
          <w:kern w:val="0"/>
          <w:lang w:eastAsia="pt-BR"/>
          <w14:ligatures w14:val="none"/>
        </w:rPr>
        <w:t> Para os detalhes de transações (o "Drill-Down"), o uso do componente </w:t>
      </w:r>
      <w:r w:rsidRPr="002E42A9">
        <w:rPr>
          <w:rFonts w:ascii="Arial" w:eastAsia="Times New Roman" w:hAnsi="Arial" w:cs="Arial"/>
          <w:color w:val="000000"/>
          <w:kern w:val="0"/>
          <w:sz w:val="20"/>
          <w:szCs w:val="20"/>
          <w:lang w:eastAsia="pt-BR"/>
          <w14:ligatures w14:val="none"/>
        </w:rPr>
        <w:t>Dialog</w:t>
      </w:r>
      <w:r w:rsidRPr="002E42A9">
        <w:rPr>
          <w:rFonts w:ascii="Arial" w:eastAsia="Times New Roman" w:hAnsi="Arial" w:cs="Arial"/>
          <w:color w:val="000000"/>
          <w:kern w:val="0"/>
          <w:lang w:eastAsia="pt-BR"/>
          <w14:ligatures w14:val="none"/>
        </w:rPr>
        <w:t> do Radix garante o gerenciamento correto do foco. Quando um modal abre detalhando as taxas da "Stone / Maestro" de junho de 2024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o foco do teclado é aprisionado no modal, impedindo interações acidentais com a tabela de fundo.</w:t>
      </w:r>
    </w:p>
    <w:p w14:paraId="0D9E1C00" w14:textId="77777777" w:rsidR="002E42A9" w:rsidRPr="002E42A9" w:rsidRDefault="002E42A9" w:rsidP="002E42A9">
      <w:pPr>
        <w:numPr>
          <w:ilvl w:val="0"/>
          <w:numId w:val="4"/>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Popover e Select:</w:t>
      </w:r>
      <w:r w:rsidRPr="002E42A9">
        <w:rPr>
          <w:rFonts w:ascii="Arial" w:eastAsia="Times New Roman" w:hAnsi="Arial" w:cs="Arial"/>
          <w:color w:val="000000"/>
          <w:kern w:val="0"/>
          <w:lang w:eastAsia="pt-BR"/>
          <w14:ligatures w14:val="none"/>
        </w:rPr>
        <w:t> O filtro de "Centro de Custos"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(e.g., "LOJA 01 - VOLPE MATRIZ" vs. "CENTRO DISTRIBUIÇÃO") exige um componente de seleção robusto. O </w:t>
      </w:r>
      <w:r w:rsidRPr="002E42A9">
        <w:rPr>
          <w:rFonts w:ascii="Arial" w:eastAsia="Times New Roman" w:hAnsi="Arial" w:cs="Arial"/>
          <w:color w:val="000000"/>
          <w:kern w:val="0"/>
          <w:sz w:val="20"/>
          <w:szCs w:val="20"/>
          <w:lang w:eastAsia="pt-BR"/>
          <w14:ligatures w14:val="none"/>
        </w:rPr>
        <w:t>Popover</w:t>
      </w:r>
      <w:r w:rsidRPr="002E42A9">
        <w:rPr>
          <w:rFonts w:ascii="Arial" w:eastAsia="Times New Roman" w:hAnsi="Arial" w:cs="Arial"/>
          <w:color w:val="000000"/>
          <w:kern w:val="0"/>
          <w:lang w:eastAsia="pt-BR"/>
          <w14:ligatures w14:val="none"/>
        </w:rPr>
        <w:t> do Radix permite criar comboboxes pesquisáveis, essenciais quando o plano de contas cresce para centenas de itens.</w:t>
      </w:r>
    </w:p>
    <w:p w14:paraId="05A4E33A"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2.3 ShadcnUI como Camada de Integração</w:t>
      </w:r>
    </w:p>
    <w:p w14:paraId="21ADD687"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ShadcnUI atua como o acelerador de desenvolvimento, fornecendo componentes pré-estilizados com Tailwind sobre os primitivos do Radix. A estratégia recomendada é estender os componentes base do Shadcn para criar </w:t>
      </w:r>
      <w:r w:rsidRPr="002E42A9">
        <w:rPr>
          <w:rFonts w:ascii="Arial" w:eastAsia="Times New Roman" w:hAnsi="Arial" w:cs="Arial"/>
          <w:b/>
          <w:bCs/>
          <w:color w:val="000000"/>
          <w:kern w:val="0"/>
          <w:lang w:eastAsia="pt-BR"/>
          <w14:ligatures w14:val="none"/>
        </w:rPr>
        <w:t>Primitivos Financeiros</w:t>
      </w:r>
      <w:r w:rsidRPr="002E42A9">
        <w:rPr>
          <w:rFonts w:ascii="Arial" w:eastAsia="Times New Roman" w:hAnsi="Arial" w:cs="Arial"/>
          <w:color w:val="000000"/>
          <w:kern w:val="0"/>
          <w:lang w:eastAsia="pt-BR"/>
          <w14:ligatures w14:val="none"/>
        </w:rPr>
        <w:t>:</w:t>
      </w:r>
    </w:p>
    <w:p w14:paraId="250BC433" w14:textId="77777777" w:rsidR="002E42A9" w:rsidRPr="002E42A9" w:rsidRDefault="002E42A9" w:rsidP="002E42A9">
      <w:pPr>
        <w:numPr>
          <w:ilvl w:val="0"/>
          <w:numId w:val="5"/>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MoneyInput</w:t>
      </w:r>
      <w:r w:rsidRPr="002E42A9">
        <w:rPr>
          <w:rFonts w:ascii="Arial" w:eastAsia="Times New Roman" w:hAnsi="Arial" w:cs="Arial"/>
          <w:color w:val="000000"/>
          <w:kern w:val="0"/>
          <w:lang w:eastAsia="pt-BR"/>
          <w14:ligatures w14:val="none"/>
        </w:rPr>
        <w:t>: Um input estendido que lida automaticamente com máscaras de moeda BRL (R$), prevenindo erros de entrada de dados decimais.</w:t>
      </w:r>
    </w:p>
    <w:p w14:paraId="4F72931F" w14:textId="77777777" w:rsidR="002E42A9" w:rsidRPr="002E42A9" w:rsidRDefault="002E42A9" w:rsidP="002E42A9">
      <w:pPr>
        <w:numPr>
          <w:ilvl w:val="0"/>
          <w:numId w:val="5"/>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StatusBadge</w:t>
      </w:r>
      <w:r w:rsidRPr="002E42A9">
        <w:rPr>
          <w:rFonts w:ascii="Arial" w:eastAsia="Times New Roman" w:hAnsi="Arial" w:cs="Arial"/>
          <w:color w:val="000000"/>
          <w:kern w:val="0"/>
          <w:lang w:eastAsia="pt-BR"/>
          <w14:ligatures w14:val="none"/>
        </w:rPr>
        <w:t>: Um componente que mapeia automaticamente strings de status do banco de dados ("Liquidado", "Conciliado") para as variantes de cor do Tailwind definidas anteriormente.</w:t>
      </w:r>
    </w:p>
    <w:p w14:paraId="7982E7BF" w14:textId="77777777" w:rsidR="002E42A9" w:rsidRPr="002E42A9" w:rsidRDefault="002E42A9" w:rsidP="002E42A9">
      <w:pPr>
        <w:numPr>
          <w:ilvl w:val="0"/>
          <w:numId w:val="5"/>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DateRangePicker</w:t>
      </w:r>
      <w:r w:rsidRPr="002E42A9">
        <w:rPr>
          <w:rFonts w:ascii="Arial" w:eastAsia="Times New Roman" w:hAnsi="Arial" w:cs="Arial"/>
          <w:color w:val="000000"/>
          <w:kern w:val="0"/>
          <w:lang w:eastAsia="pt-BR"/>
          <w14:ligatures w14:val="none"/>
        </w:rPr>
        <w:t>: Essencial para filtrar o DRE. Deve suportar presets como "Este Mês", "Último Trimestre", e "Ano Fiscal" (considerando o ano fiscal brasileiro).</w:t>
      </w:r>
    </w:p>
    <w:p w14:paraId="2E018246"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796C7CD8">
          <v:rect id="_x0000_i1031" alt="" style="width:425.2pt;height:.05pt;mso-width-percent:0;mso-height-percent:0;mso-width-percent:0;mso-height-percent:0" o:hralign="center" o:hrstd="t" o:hr="t" fillcolor="#a0a0a0" stroked="f"/>
        </w:pict>
      </w:r>
    </w:p>
    <w:p w14:paraId="0AEF82E3"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Parte 3: Engenharia de Dados no Frontend — TanStack Table</w:t>
      </w:r>
    </w:p>
    <w:p w14:paraId="217CEE92"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Para a renderização das tabelas de DRE e DFC, o uso de uma tabela HTML simples é inviável. O </w:t>
      </w:r>
      <w:r w:rsidRPr="002E42A9">
        <w:rPr>
          <w:rFonts w:ascii="Arial" w:eastAsia="Times New Roman" w:hAnsi="Arial" w:cs="Arial"/>
          <w:b/>
          <w:bCs/>
          <w:color w:val="000000"/>
          <w:kern w:val="0"/>
          <w:lang w:eastAsia="pt-BR"/>
          <w14:ligatures w14:val="none"/>
        </w:rPr>
        <w:t>TanStack Table (v8)</w:t>
      </w:r>
      <w:r w:rsidRPr="002E42A9">
        <w:rPr>
          <w:rFonts w:ascii="Arial" w:eastAsia="Times New Roman" w:hAnsi="Arial" w:cs="Arial"/>
          <w:color w:val="000000"/>
          <w:kern w:val="0"/>
          <w:lang w:eastAsia="pt-BR"/>
          <w14:ligatures w14:val="none"/>
        </w:rPr>
        <w:t> é a escolha definitiva devido à sua arquitetura "headless", permitindo controle total sobre a marcação enquanto gerencia lógicas complexas de agrupamento e virtualização.</w:t>
      </w:r>
    </w:p>
    <w:p w14:paraId="50D9220B"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3.1 Virtualização de Listas Massivas</w:t>
      </w:r>
    </w:p>
    <w:p w14:paraId="34FBD305"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O arquivo </w:t>
      </w:r>
      <w:r w:rsidRPr="002E42A9">
        <w:rPr>
          <w:rFonts w:ascii="Arial" w:eastAsia="Times New Roman" w:hAnsi="Arial" w:cs="Arial"/>
          <w:color w:val="000000"/>
          <w:kern w:val="0"/>
          <w:sz w:val="20"/>
          <w:szCs w:val="20"/>
          <w:lang w:eastAsia="pt-BR"/>
          <w14:ligatures w14:val="none"/>
        </w:rPr>
        <w:t>VOLPE - LOJA 1.xlsx - Relatório Unificado.csv</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xml:space="preserve"> contém evidências de um volume transacional extremamente alto, impulsionado por micro-taxas de </w:t>
      </w:r>
      <w:r w:rsidRPr="002E42A9">
        <w:rPr>
          <w:rFonts w:ascii="Arial" w:eastAsia="Times New Roman" w:hAnsi="Arial" w:cs="Arial"/>
          <w:color w:val="000000"/>
          <w:kern w:val="0"/>
          <w:lang w:eastAsia="pt-BR"/>
          <w14:ligatures w14:val="none"/>
        </w:rPr>
        <w:lastRenderedPageBreak/>
        <w:t>adquirência. Existem centenas de linhas referentes a taxas de R$ 0,02, R$ 0,16, R$ 0,23 cobradas diariamente por diferentes bandeiras (Visa, Elo, Maestro).</w:t>
      </w:r>
    </w:p>
    <w:p w14:paraId="3BDB242F"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Renderizar todas essas linhas no DOM simultaneamente causaria travamento do navegador. A integração do </w:t>
      </w:r>
      <w:r w:rsidRPr="002E42A9">
        <w:rPr>
          <w:rFonts w:ascii="Arial" w:eastAsia="Times New Roman" w:hAnsi="Arial" w:cs="Arial"/>
          <w:color w:val="000000"/>
          <w:kern w:val="0"/>
          <w:sz w:val="20"/>
          <w:szCs w:val="20"/>
          <w:lang w:eastAsia="pt-BR"/>
          <w14:ligatures w14:val="none"/>
        </w:rPr>
        <w:t>@tanstack/react-virtual</w:t>
      </w:r>
      <w:r w:rsidRPr="002E42A9">
        <w:rPr>
          <w:rFonts w:ascii="Arial" w:eastAsia="Times New Roman" w:hAnsi="Arial" w:cs="Arial"/>
          <w:color w:val="000000"/>
          <w:kern w:val="0"/>
          <w:lang w:eastAsia="pt-BR"/>
          <w14:ligatures w14:val="none"/>
        </w:rPr>
        <w:t> com o TanStack Table é obrigatória.</w:t>
      </w:r>
    </w:p>
    <w:p w14:paraId="6107EFD8" w14:textId="77777777" w:rsidR="002E42A9" w:rsidRPr="002E42A9" w:rsidRDefault="002E42A9" w:rsidP="002E42A9">
      <w:pPr>
        <w:numPr>
          <w:ilvl w:val="0"/>
          <w:numId w:val="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Mecanismo:</w:t>
      </w:r>
      <w:r w:rsidRPr="002E42A9">
        <w:rPr>
          <w:rFonts w:ascii="Arial" w:eastAsia="Times New Roman" w:hAnsi="Arial" w:cs="Arial"/>
          <w:color w:val="000000"/>
          <w:kern w:val="0"/>
          <w:lang w:eastAsia="pt-BR"/>
          <w14:ligatures w14:val="none"/>
        </w:rPr>
        <w:t> A virtualização renderiza apenas as linhas visíveis na "janela" de visualização (viewport), mais um pequeno buffer superior e inferior.</w:t>
      </w:r>
    </w:p>
    <w:p w14:paraId="08892A55" w14:textId="77777777" w:rsidR="002E42A9" w:rsidRPr="002E42A9" w:rsidRDefault="002E42A9" w:rsidP="002E42A9">
      <w:pPr>
        <w:numPr>
          <w:ilvl w:val="0"/>
          <w:numId w:val="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Resultado:</w:t>
      </w:r>
      <w:r w:rsidRPr="002E42A9">
        <w:rPr>
          <w:rFonts w:ascii="Arial" w:eastAsia="Times New Roman" w:hAnsi="Arial" w:cs="Arial"/>
          <w:color w:val="000000"/>
          <w:kern w:val="0"/>
          <w:lang w:eastAsia="pt-BR"/>
          <w14:ligatures w14:val="none"/>
        </w:rPr>
        <w:t> O usuário pode rolar suavemente por 50.000 registros de taxas de cartão sem degradação de performance, pois o navegador gerencia apenas ~20 nós do DOM por vez.</w:t>
      </w:r>
    </w:p>
    <w:p w14:paraId="1129B1D5"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3.2 Agrupamento Hierárquico (Tree-Shaking) para DRE</w:t>
      </w:r>
    </w:p>
    <w:p w14:paraId="0797FFA4"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O DRE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possui uma estrutura aninhada intrínseca. O TanStack Table suporta nativamente o modelo de dados em árvore (</w:t>
      </w:r>
      <w:r w:rsidRPr="002E42A9">
        <w:rPr>
          <w:rFonts w:ascii="Arial" w:eastAsia="Times New Roman" w:hAnsi="Arial" w:cs="Arial"/>
          <w:color w:val="000000"/>
          <w:kern w:val="0"/>
          <w:sz w:val="20"/>
          <w:szCs w:val="20"/>
          <w:lang w:eastAsia="pt-BR"/>
          <w14:ligatures w14:val="none"/>
        </w:rPr>
        <w:t>SubRows</w:t>
      </w:r>
      <w:r w:rsidRPr="002E42A9">
        <w:rPr>
          <w:rFonts w:ascii="Arial" w:eastAsia="Times New Roman" w:hAnsi="Arial" w:cs="Arial"/>
          <w:color w:val="000000"/>
          <w:kern w:val="0"/>
          <w:lang w:eastAsia="pt-BR"/>
          <w14:ligatures w14:val="none"/>
        </w:rPr>
        <w:t>).</w:t>
      </w:r>
    </w:p>
    <w:p w14:paraId="6D36E016" w14:textId="77777777" w:rsidR="002E42A9" w:rsidRPr="002E42A9" w:rsidRDefault="002E42A9" w:rsidP="002E42A9">
      <w:pPr>
        <w:numPr>
          <w:ilvl w:val="0"/>
          <w:numId w:val="7"/>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Configuração:</w:t>
      </w:r>
      <w:r w:rsidRPr="002E42A9">
        <w:rPr>
          <w:rFonts w:ascii="Arial" w:eastAsia="Times New Roman" w:hAnsi="Arial" w:cs="Arial"/>
          <w:color w:val="000000"/>
          <w:kern w:val="0"/>
          <w:lang w:eastAsia="pt-BR"/>
          <w14:ligatures w14:val="none"/>
        </w:rPr>
        <w:t> Definimos colunas de agrupamento baseadas no código da conta (e.g., "4", "4.1", "4.1.1").</w:t>
      </w:r>
    </w:p>
    <w:p w14:paraId="6D3F9DF5" w14:textId="77777777" w:rsidR="002E42A9" w:rsidRPr="002E42A9" w:rsidRDefault="002E42A9" w:rsidP="002E42A9">
      <w:pPr>
        <w:numPr>
          <w:ilvl w:val="0"/>
          <w:numId w:val="7"/>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Expansão Controlada:</w:t>
      </w:r>
      <w:r w:rsidRPr="002E42A9">
        <w:rPr>
          <w:rFonts w:ascii="Arial" w:eastAsia="Times New Roman" w:hAnsi="Arial" w:cs="Arial"/>
          <w:color w:val="000000"/>
          <w:kern w:val="0"/>
          <w:lang w:eastAsia="pt-BR"/>
          <w14:ligatures w14:val="none"/>
        </w:rPr>
        <w:t> O usuário pode clicar para expandir "Despesas Administrativas" e ver o detalhe de "Manutenção Predial".</w:t>
      </w:r>
    </w:p>
    <w:p w14:paraId="3C9BA47C" w14:textId="77777777" w:rsidR="002E42A9" w:rsidRPr="002E42A9" w:rsidRDefault="002E42A9" w:rsidP="002E42A9">
      <w:pPr>
        <w:numPr>
          <w:ilvl w:val="0"/>
          <w:numId w:val="7"/>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Agregação Dinâmica:</w:t>
      </w:r>
      <w:r w:rsidRPr="002E42A9">
        <w:rPr>
          <w:rFonts w:ascii="Arial" w:eastAsia="Times New Roman" w:hAnsi="Arial" w:cs="Arial"/>
          <w:color w:val="000000"/>
          <w:kern w:val="0"/>
          <w:lang w:eastAsia="pt-BR"/>
          <w14:ligatures w14:val="none"/>
        </w:rPr>
        <w:t> O TanStack Table permite definir funções de agregação (</w:t>
      </w:r>
      <w:r w:rsidRPr="002E42A9">
        <w:rPr>
          <w:rFonts w:ascii="Arial" w:eastAsia="Times New Roman" w:hAnsi="Arial" w:cs="Arial"/>
          <w:color w:val="000000"/>
          <w:kern w:val="0"/>
          <w:sz w:val="20"/>
          <w:szCs w:val="20"/>
          <w:lang w:eastAsia="pt-BR"/>
          <w14:ligatures w14:val="none"/>
        </w:rPr>
        <w:t>aggregationFn</w:t>
      </w:r>
      <w:r w:rsidRPr="002E42A9">
        <w:rPr>
          <w:rFonts w:ascii="Arial" w:eastAsia="Times New Roman" w:hAnsi="Arial" w:cs="Arial"/>
          <w:color w:val="000000"/>
          <w:kern w:val="0"/>
          <w:lang w:eastAsia="pt-BR"/>
          <w14:ligatures w14:val="none"/>
        </w:rPr>
        <w:t>). Para o DRE, a função deve somar os valores das linhas filhas. Isso garante que, se filtrarmos a visualização para excluir "Juros Passivos" temporariamente, o total do grupo "Despesas Financeiras" se recalcule automaticamente no frontend, oferecendo cenários de "What-If" instantâneos.</w:t>
      </w:r>
    </w:p>
    <w:p w14:paraId="3A01F2DA"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3.3 Tratamento de Pivos (Pivoting) para DFC</w:t>
      </w:r>
    </w:p>
    <w:p w14:paraId="77CE6BCF"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Enquanto o DRE é vertical, o Fluxo de Caixa (DFC) muitas vezes precisa ser horizontal (Tempo no eixo X). O TanStack Table facilita a "fixação" (pinning) da coluna de Contas à esquerda, permitindo que o usuário role horizontalmente pelos meses (01/2025, 02/2025, etc.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sem perder o contexto da linha que está analisando.</w:t>
      </w:r>
    </w:p>
    <w:p w14:paraId="450AE381"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69C6F225">
          <v:rect id="_x0000_i1030" alt="" style="width:425.2pt;height:.05pt;mso-width-percent:0;mso-height-percent:0;mso-width-percent:0;mso-height-percent:0" o:hralign="center" o:hrstd="t" o:hr="t" fillcolor="#a0a0a0" stroked="f"/>
        </w:pict>
      </w:r>
    </w:p>
    <w:p w14:paraId="4DC696B7"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Parte 4: Gerenciamento de Estado Global — Zustand</w:t>
      </w:r>
    </w:p>
    <w:p w14:paraId="5690D5ED"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complexidade das interações exigidas — filtros globais afetando múltiplos widgets, modais de drill-down sincronizados — exige um gerenciador de estado mais capaz que o Context API nativo, mas menos verboso que o Redux. </w:t>
      </w:r>
      <w:r w:rsidRPr="002E42A9">
        <w:rPr>
          <w:rFonts w:ascii="Arial" w:eastAsia="Times New Roman" w:hAnsi="Arial" w:cs="Arial"/>
          <w:b/>
          <w:bCs/>
          <w:color w:val="000000"/>
          <w:kern w:val="0"/>
          <w:lang w:eastAsia="pt-BR"/>
          <w14:ligatures w14:val="none"/>
        </w:rPr>
        <w:t>Zustand</w:t>
      </w:r>
      <w:r w:rsidRPr="002E42A9">
        <w:rPr>
          <w:rFonts w:ascii="Arial" w:eastAsia="Times New Roman" w:hAnsi="Arial" w:cs="Arial"/>
          <w:color w:val="000000"/>
          <w:kern w:val="0"/>
          <w:lang w:eastAsia="pt-BR"/>
          <w14:ligatures w14:val="none"/>
        </w:rPr>
        <w:t> é a solução ideal.</w:t>
      </w:r>
    </w:p>
    <w:p w14:paraId="0D6BD113"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4.1 Arquitetura da Store Financeira</w:t>
      </w:r>
    </w:p>
    <w:p w14:paraId="7C406F8F"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lastRenderedPageBreak/>
        <w:t>A store do Zustand deve ser segmentada em "Slices" para manter a organização:</w:t>
      </w:r>
    </w:p>
    <w:p w14:paraId="4F04C0DA" w14:textId="77777777" w:rsidR="002E42A9" w:rsidRPr="002E42A9" w:rsidRDefault="002E42A9" w:rsidP="002E42A9">
      <w:pPr>
        <w:numPr>
          <w:ilvl w:val="0"/>
          <w:numId w:val="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FilterSlice</w:t>
      </w:r>
      <w:r w:rsidRPr="002E42A9">
        <w:rPr>
          <w:rFonts w:ascii="Arial" w:eastAsia="Times New Roman" w:hAnsi="Arial" w:cs="Arial"/>
          <w:color w:val="000000"/>
          <w:kern w:val="0"/>
          <w:lang w:eastAsia="pt-BR"/>
          <w14:ligatures w14:val="none"/>
        </w:rPr>
        <w:t>: Armazena o estado da verdade para o dashboard.</w:t>
      </w:r>
    </w:p>
    <w:p w14:paraId="04674770" w14:textId="77777777" w:rsidR="002E42A9" w:rsidRPr="002E42A9" w:rsidRDefault="002E42A9" w:rsidP="002E42A9">
      <w:pPr>
        <w:numPr>
          <w:ilvl w:val="1"/>
          <w:numId w:val="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dateRange</w:t>
      </w:r>
      <w:r w:rsidRPr="002E42A9">
        <w:rPr>
          <w:rFonts w:ascii="Arial" w:eastAsia="Times New Roman" w:hAnsi="Arial" w:cs="Arial"/>
          <w:color w:val="000000"/>
          <w:kern w:val="0"/>
          <w:lang w:eastAsia="pt-BR"/>
          <w14:ligatures w14:val="none"/>
        </w:rPr>
        <w:t>: { from, to }.</w:t>
      </w:r>
    </w:p>
    <w:p w14:paraId="092C37CE" w14:textId="77777777" w:rsidR="002E42A9" w:rsidRPr="002E42A9" w:rsidRDefault="002E42A9" w:rsidP="002E42A9">
      <w:pPr>
        <w:numPr>
          <w:ilvl w:val="1"/>
          <w:numId w:val="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selectedCostCenters</w:t>
      </w:r>
      <w:r w:rsidRPr="002E42A9">
        <w:rPr>
          <w:rFonts w:ascii="Arial" w:eastAsia="Times New Roman" w:hAnsi="Arial" w:cs="Arial"/>
          <w:color w:val="000000"/>
          <w:kern w:val="0"/>
          <w:lang w:eastAsia="pt-BR"/>
          <w14:ligatures w14:val="none"/>
        </w:rPr>
        <w:t>: Array de strings (e.g.,).</w:t>
      </w:r>
    </w:p>
    <w:p w14:paraId="0065A272" w14:textId="77777777" w:rsidR="002E42A9" w:rsidRPr="002E42A9" w:rsidRDefault="002E42A9" w:rsidP="002E42A9">
      <w:pPr>
        <w:numPr>
          <w:ilvl w:val="1"/>
          <w:numId w:val="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viewMode</w:t>
      </w:r>
      <w:r w:rsidRPr="002E42A9">
        <w:rPr>
          <w:rFonts w:ascii="Arial" w:eastAsia="Times New Roman" w:hAnsi="Arial" w:cs="Arial"/>
          <w:color w:val="000000"/>
          <w:kern w:val="0"/>
          <w:lang w:eastAsia="pt-BR"/>
          <w14:ligatures w14:val="none"/>
        </w:rPr>
        <w:t>: 'competencia' | 'caixa'. (Crucial: O arquivo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tem datas de "Emissão" e "Liquidação". O DRE usa competência, o DFC usa caixa. Este toggle muda todo o cálculo do dashboard).</w:t>
      </w:r>
    </w:p>
    <w:p w14:paraId="5615A343" w14:textId="77777777" w:rsidR="002E42A9" w:rsidRPr="002E42A9" w:rsidRDefault="002E42A9" w:rsidP="002E42A9">
      <w:pPr>
        <w:numPr>
          <w:ilvl w:val="0"/>
          <w:numId w:val="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InteractionSlice</w:t>
      </w:r>
      <w:r w:rsidRPr="002E42A9">
        <w:rPr>
          <w:rFonts w:ascii="Arial" w:eastAsia="Times New Roman" w:hAnsi="Arial" w:cs="Arial"/>
          <w:color w:val="000000"/>
          <w:kern w:val="0"/>
          <w:lang w:eastAsia="pt-BR"/>
          <w14:ligatures w14:val="none"/>
        </w:rPr>
        <w:t>: Gerencia estados de UI efêmeros.</w:t>
      </w:r>
    </w:p>
    <w:p w14:paraId="172535DC" w14:textId="77777777" w:rsidR="002E42A9" w:rsidRPr="002E42A9" w:rsidRDefault="002E42A9" w:rsidP="002E42A9">
      <w:pPr>
        <w:numPr>
          <w:ilvl w:val="1"/>
          <w:numId w:val="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hoveredTransactionId</w:t>
      </w:r>
      <w:r w:rsidRPr="002E42A9">
        <w:rPr>
          <w:rFonts w:ascii="Arial" w:eastAsia="Times New Roman" w:hAnsi="Arial" w:cs="Arial"/>
          <w:color w:val="000000"/>
          <w:kern w:val="0"/>
          <w:lang w:eastAsia="pt-BR"/>
          <w14:ligatures w14:val="none"/>
        </w:rPr>
        <w:t>: Quando o usuário passa o mouse sobre uma barra no gráfico, este ID é atualizado. A tabela assina este estado e destaca a linha correspondente.</w:t>
      </w:r>
    </w:p>
    <w:p w14:paraId="098FE5BC" w14:textId="77777777" w:rsidR="002E42A9" w:rsidRPr="002E42A9" w:rsidRDefault="002E42A9" w:rsidP="002E42A9">
      <w:pPr>
        <w:numPr>
          <w:ilvl w:val="1"/>
          <w:numId w:val="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sz w:val="20"/>
          <w:szCs w:val="20"/>
          <w:lang w:eastAsia="pt-BR"/>
          <w14:ligatures w14:val="none"/>
        </w:rPr>
        <w:t>activeModal</w:t>
      </w:r>
      <w:r w:rsidRPr="002E42A9">
        <w:rPr>
          <w:rFonts w:ascii="Arial" w:eastAsia="Times New Roman" w:hAnsi="Arial" w:cs="Arial"/>
          <w:color w:val="000000"/>
          <w:kern w:val="0"/>
          <w:lang w:eastAsia="pt-BR"/>
          <w14:ligatures w14:val="none"/>
        </w:rPr>
        <w:t>: Controla qual modal de detalhe está aberto.</w:t>
      </w:r>
    </w:p>
    <w:p w14:paraId="706D023C"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4.2 Atualizações Transientes (Transient Updates)</w:t>
      </w:r>
    </w:p>
    <w:p w14:paraId="20FBA6B1"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Para gráficos interativos de alta performance, renderizar o componente React inteiro a cada movimento do mouse (hover) é custoso. O Zustand permite atualizações transientes, onde assinamos mudanças de estado fora do ciclo de renderização do React para manipular o DOM diretamente (ou via refs) para interações como tooltips sincronizados entre gráficos e tabelas, garantindo 60fps mesmo em telas complexas.</w:t>
      </w:r>
    </w:p>
    <w:p w14:paraId="7136A78B"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6ECC9D3E">
          <v:rect id="_x0000_i1029" alt="" style="width:425.2pt;height:.05pt;mso-width-percent:0;mso-height-percent:0;mso-width-percent:0;mso-height-percent:0" o:hralign="center" o:hrstd="t" o:hr="t" fillcolor="#a0a0a0" stroked="f"/>
        </w:pict>
      </w:r>
    </w:p>
    <w:p w14:paraId="58C67821"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Parte 5: Inteligência de Dados — Protocolo MCP (Model Context Protocol)</w:t>
      </w:r>
    </w:p>
    <w:p w14:paraId="50FB74C3"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inovação central desta stack é a integração de servidores </w:t>
      </w:r>
      <w:r w:rsidRPr="002E42A9">
        <w:rPr>
          <w:rFonts w:ascii="Arial" w:eastAsia="Times New Roman" w:hAnsi="Arial" w:cs="Arial"/>
          <w:b/>
          <w:bCs/>
          <w:color w:val="000000"/>
          <w:kern w:val="0"/>
          <w:lang w:eastAsia="pt-BR"/>
          <w14:ligatures w14:val="none"/>
        </w:rPr>
        <w:t>MCP (Model Context Protocol)</w:t>
      </w:r>
      <w:r w:rsidRPr="002E42A9">
        <w:rPr>
          <w:rFonts w:ascii="Arial" w:eastAsia="Times New Roman" w:hAnsi="Arial" w:cs="Arial"/>
          <w:color w:val="000000"/>
          <w:kern w:val="0"/>
          <w:lang w:eastAsia="pt-BR"/>
          <w14:ligatures w14:val="none"/>
        </w:rPr>
        <w:t>. Isso eleva o dashboard de uma ferramenta passiva de visualização para um agente ativo de inteligência financeira. O MCP padroniza como LLMs (como Claude ou GPT-4) interagem com dados locais.</w:t>
      </w:r>
    </w:p>
    <w:p w14:paraId="59BB3075"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5.1 Arquitetura do Servidor MCP "Volpe Analyst"</w:t>
      </w:r>
    </w:p>
    <w:p w14:paraId="7D3EED9D"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Implementamos um servidor MCP em Node.js (ou integrado via API Routes do Next.js) que expõe o banco de dados financeiro como "Recursos" e "Ferramentas" para a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9"/>
        <w:gridCol w:w="1677"/>
        <w:gridCol w:w="5112"/>
      </w:tblGrid>
      <w:tr w:rsidR="002E42A9" w:rsidRPr="002E42A9" w14:paraId="4AF48AB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E9C90"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b/>
                <w:bCs/>
                <w:kern w:val="0"/>
                <w:lang w:eastAsia="pt-BR"/>
                <w14:ligatures w14:val="none"/>
              </w:rPr>
              <w:t>Componente MCP</w:t>
            </w:r>
          </w:p>
        </w:tc>
        <w:tc>
          <w:tcPr>
            <w:tcW w:w="0" w:type="auto"/>
            <w:tcBorders>
              <w:top w:val="single" w:sz="6" w:space="0" w:color="auto"/>
              <w:left w:val="single" w:sz="6" w:space="0" w:color="auto"/>
              <w:bottom w:val="single" w:sz="6" w:space="0" w:color="auto"/>
              <w:right w:val="single" w:sz="6" w:space="0" w:color="auto"/>
            </w:tcBorders>
            <w:vAlign w:val="center"/>
            <w:hideMark/>
          </w:tcPr>
          <w:p w14:paraId="01393C2C"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b/>
                <w:bCs/>
                <w:kern w:val="0"/>
                <w:lang w:eastAsia="pt-BR"/>
                <w14:ligatures w14:val="none"/>
              </w:rPr>
              <w:t>Função no Contexto VOLPE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62134"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b/>
                <w:bCs/>
                <w:kern w:val="0"/>
                <w:lang w:eastAsia="pt-BR"/>
                <w14:ligatures w14:val="none"/>
              </w:rPr>
              <w:t>Implementação Técnica</w:t>
            </w:r>
          </w:p>
        </w:tc>
      </w:tr>
      <w:tr w:rsidR="002E42A9" w:rsidRPr="002E42A9" w14:paraId="5A819B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7AE7D0"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b/>
                <w:bCs/>
                <w:kern w:val="0"/>
                <w:lang w:eastAsia="pt-BR"/>
                <w14:ligatures w14:val="none"/>
              </w:rPr>
              <w:t>Recursos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BD773"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kern w:val="0"/>
                <w:lang w:eastAsia="pt-BR"/>
                <w14:ligatures w14:val="none"/>
              </w:rPr>
              <w:t>Expor dados brutos de forma segura.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53C28"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kern w:val="0"/>
                <w:sz w:val="20"/>
                <w:szCs w:val="20"/>
                <w:lang w:eastAsia="pt-BR"/>
                <w14:ligatures w14:val="none"/>
              </w:rPr>
              <w:t>volpe://dre/2024-07</w:t>
            </w:r>
            <w:r w:rsidRPr="002E42A9">
              <w:rPr>
                <w:rFonts w:ascii="Arial" w:eastAsia="Times New Roman" w:hAnsi="Arial" w:cs="Arial"/>
                <w:kern w:val="0"/>
                <w:lang w:eastAsia="pt-BR"/>
                <w14:ligatures w14:val="none"/>
              </w:rPr>
              <w:t> retorna o JSON estruturado do DRE de Julho/2024, permitindo que a IA leia os valores negativos de despesas.</w:t>
            </w:r>
          </w:p>
        </w:tc>
      </w:tr>
      <w:tr w:rsidR="002E42A9" w:rsidRPr="002E42A9" w14:paraId="21663E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2A1217"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b/>
                <w:bCs/>
                <w:kern w:val="0"/>
                <w:lang w:eastAsia="pt-BR"/>
                <w14:ligatures w14:val="none"/>
              </w:rPr>
              <w:t>Ferramentas (Tools)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4DDEA"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kern w:val="0"/>
                <w:lang w:eastAsia="pt-BR"/>
                <w14:ligatures w14:val="none"/>
              </w:rPr>
              <w:t>Funções executáveis pela 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C22084"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kern w:val="0"/>
                <w:sz w:val="20"/>
                <w:szCs w:val="20"/>
                <w:lang w:eastAsia="pt-BR"/>
                <w14:ligatures w14:val="none"/>
              </w:rPr>
              <w:t>analyze_variance(account_code, month_target, month_reference)</w:t>
            </w:r>
            <w:r w:rsidRPr="002E42A9">
              <w:rPr>
                <w:rFonts w:ascii="Arial" w:eastAsia="Times New Roman" w:hAnsi="Arial" w:cs="Arial"/>
                <w:kern w:val="0"/>
                <w:lang w:eastAsia="pt-BR"/>
                <w14:ligatures w14:val="none"/>
              </w:rPr>
              <w:t xml:space="preserve">: A IA chama esta ferramenta para entender por que a conta "4.11 - Serviços </w:t>
            </w:r>
            <w:r w:rsidRPr="002E42A9">
              <w:rPr>
                <w:rFonts w:ascii="Arial" w:eastAsia="Times New Roman" w:hAnsi="Arial" w:cs="Arial"/>
                <w:kern w:val="0"/>
                <w:lang w:eastAsia="pt-BR"/>
                <w14:ligatures w14:val="none"/>
              </w:rPr>
              <w:lastRenderedPageBreak/>
              <w:t>Terceiros PF" variou de R$ 0 para R$ -817 entre Fev e Jan.</w:t>
            </w:r>
            <w:r w:rsidRPr="002E42A9">
              <w:rPr>
                <w:rFonts w:ascii="Arial" w:eastAsia="Times New Roman" w:hAnsi="Arial" w:cs="Arial"/>
                <w:kern w:val="0"/>
                <w:vertAlign w:val="superscript"/>
                <w:lang w:eastAsia="pt-BR"/>
                <w14:ligatures w14:val="none"/>
              </w:rPr>
              <w:t>1</w:t>
            </w:r>
          </w:p>
        </w:tc>
      </w:tr>
      <w:tr w:rsidR="002E42A9" w:rsidRPr="002E42A9" w14:paraId="2DA7E3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6BF76"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b/>
                <w:bCs/>
                <w:kern w:val="0"/>
                <w:lang w:eastAsia="pt-BR"/>
                <w14:ligatures w14:val="none"/>
              </w:rPr>
              <w:lastRenderedPageBreak/>
              <w:t>Prompts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BF286"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kern w:val="0"/>
                <w:lang w:eastAsia="pt-BR"/>
                <w14:ligatures w14:val="none"/>
              </w:rPr>
              <w:t>Templates de análise pré-definidos.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43E4A9" w14:textId="77777777" w:rsidR="002E42A9" w:rsidRPr="002E42A9" w:rsidRDefault="002E42A9" w:rsidP="002E42A9">
            <w:pPr>
              <w:spacing w:after="0" w:line="240" w:lineRule="auto"/>
              <w:rPr>
                <w:rFonts w:ascii="Arial" w:eastAsia="Times New Roman" w:hAnsi="Arial" w:cs="Arial"/>
                <w:kern w:val="0"/>
                <w:lang w:eastAsia="pt-BR"/>
                <w14:ligatures w14:val="none"/>
              </w:rPr>
            </w:pPr>
            <w:r w:rsidRPr="002E42A9">
              <w:rPr>
                <w:rFonts w:ascii="Arial" w:eastAsia="Times New Roman" w:hAnsi="Arial" w:cs="Arial"/>
                <w:kern w:val="0"/>
                <w:lang w:eastAsia="pt-BR"/>
                <w14:ligatures w14:val="none"/>
              </w:rPr>
              <w:t>"Análise de Rentabilidade": Um prompt que instrui a IA a verificar a relação entre "Vendas de Produtos" e "Tarifa de Cartao" no Relatório Unificado </w:t>
            </w:r>
            <w:r w:rsidRPr="002E42A9">
              <w:rPr>
                <w:rFonts w:ascii="Arial" w:eastAsia="Times New Roman" w:hAnsi="Arial" w:cs="Arial"/>
                <w:kern w:val="0"/>
                <w:vertAlign w:val="superscript"/>
                <w:lang w:eastAsia="pt-BR"/>
                <w14:ligatures w14:val="none"/>
              </w:rPr>
              <w:t>1</w:t>
            </w:r>
            <w:r w:rsidRPr="002E42A9">
              <w:rPr>
                <w:rFonts w:ascii="Arial" w:eastAsia="Times New Roman" w:hAnsi="Arial" w:cs="Arial"/>
                <w:kern w:val="0"/>
                <w:lang w:eastAsia="pt-BR"/>
                <w14:ligatures w14:val="none"/>
              </w:rPr>
              <w:t> para calcular a taxa efetiva de adquirência.</w:t>
            </w:r>
          </w:p>
        </w:tc>
      </w:tr>
    </w:tbl>
    <w:p w14:paraId="1CBDC097"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5.2 Casos de Uso Reais Integrados</w:t>
      </w:r>
    </w:p>
    <w:p w14:paraId="36921F0C" w14:textId="77777777" w:rsidR="002E42A9" w:rsidRPr="002E42A9" w:rsidRDefault="002E42A9" w:rsidP="002E42A9">
      <w:pPr>
        <w:numPr>
          <w:ilvl w:val="0"/>
          <w:numId w:val="9"/>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Detecção de Anomalias:</w:t>
      </w:r>
      <w:r w:rsidRPr="002E42A9">
        <w:rPr>
          <w:rFonts w:ascii="Arial" w:eastAsia="Times New Roman" w:hAnsi="Arial" w:cs="Arial"/>
          <w:color w:val="000000"/>
          <w:kern w:val="0"/>
          <w:lang w:eastAsia="pt-BR"/>
          <w14:ligatures w14:val="none"/>
        </w:rPr>
        <w:t> O usuário pergunta ao dashboard: </w:t>
      </w:r>
      <w:r w:rsidRPr="002E42A9">
        <w:rPr>
          <w:rFonts w:ascii="Arial" w:eastAsia="Times New Roman" w:hAnsi="Arial" w:cs="Arial"/>
          <w:i/>
          <w:iCs/>
          <w:color w:val="000000"/>
          <w:kern w:val="0"/>
          <w:lang w:eastAsia="pt-BR"/>
          <w14:ligatures w14:val="none"/>
        </w:rPr>
        <w:t>"Por que minhas despesas administrativas subiram em Março?"</w:t>
      </w:r>
      <w:r w:rsidRPr="002E42A9">
        <w:rPr>
          <w:rFonts w:ascii="Arial" w:eastAsia="Times New Roman" w:hAnsi="Arial" w:cs="Arial"/>
          <w:color w:val="000000"/>
          <w:kern w:val="0"/>
          <w:lang w:eastAsia="pt-BR"/>
          <w14:ligatures w14:val="none"/>
        </w:rPr>
        <w:t>.</w:t>
      </w:r>
    </w:p>
    <w:p w14:paraId="1EBDE00F" w14:textId="77777777" w:rsidR="002E42A9" w:rsidRPr="002E42A9" w:rsidRDefault="002E42A9" w:rsidP="002E42A9">
      <w:pPr>
        <w:numPr>
          <w:ilvl w:val="1"/>
          <w:numId w:val="9"/>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O MCP intercepta a pergunta.</w:t>
      </w:r>
    </w:p>
    <w:p w14:paraId="75496AF9" w14:textId="77777777" w:rsidR="002E42A9" w:rsidRPr="002E42A9" w:rsidRDefault="002E42A9" w:rsidP="002E42A9">
      <w:pPr>
        <w:numPr>
          <w:ilvl w:val="1"/>
          <w:numId w:val="9"/>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IA usa a ferramenta </w:t>
      </w:r>
      <w:r w:rsidRPr="002E42A9">
        <w:rPr>
          <w:rFonts w:ascii="Arial" w:eastAsia="Times New Roman" w:hAnsi="Arial" w:cs="Arial"/>
          <w:color w:val="000000"/>
          <w:kern w:val="0"/>
          <w:sz w:val="20"/>
          <w:szCs w:val="20"/>
          <w:lang w:eastAsia="pt-BR"/>
          <w14:ligatures w14:val="none"/>
        </w:rPr>
        <w:t>get_transactions_by_category</w:t>
      </w:r>
      <w:r w:rsidRPr="002E42A9">
        <w:rPr>
          <w:rFonts w:ascii="Arial" w:eastAsia="Times New Roman" w:hAnsi="Arial" w:cs="Arial"/>
          <w:color w:val="000000"/>
          <w:kern w:val="0"/>
          <w:lang w:eastAsia="pt-BR"/>
          <w14:ligatures w14:val="none"/>
        </w:rPr>
        <w:t> para o grupo "Manut e Conservacao Predial".</w:t>
      </w:r>
    </w:p>
    <w:p w14:paraId="1C99D642" w14:textId="77777777" w:rsidR="002E42A9" w:rsidRPr="002E42A9" w:rsidRDefault="002E42A9" w:rsidP="002E42A9">
      <w:pPr>
        <w:numPr>
          <w:ilvl w:val="1"/>
          <w:numId w:val="9"/>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ferramenta consulta o banco e retorna que houve uma transação atípica de R$ -15.044,99 em Março, além da Internet recorrente de R$ 954,55.</w:t>
      </w:r>
      <w:r w:rsidRPr="002E42A9">
        <w:rPr>
          <w:rFonts w:ascii="Arial" w:eastAsia="Times New Roman" w:hAnsi="Arial" w:cs="Arial"/>
          <w:color w:val="000000"/>
          <w:kern w:val="0"/>
          <w:vertAlign w:val="superscript"/>
          <w:lang w:eastAsia="pt-BR"/>
          <w14:ligatures w14:val="none"/>
        </w:rPr>
        <w:t>1</w:t>
      </w:r>
    </w:p>
    <w:p w14:paraId="54BD68EF" w14:textId="77777777" w:rsidR="002E42A9" w:rsidRPr="002E42A9" w:rsidRDefault="002E42A9" w:rsidP="002E42A9">
      <w:pPr>
        <w:numPr>
          <w:ilvl w:val="1"/>
          <w:numId w:val="9"/>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resposta gerada é: </w:t>
      </w:r>
      <w:r w:rsidRPr="002E42A9">
        <w:rPr>
          <w:rFonts w:ascii="Arial" w:eastAsia="Times New Roman" w:hAnsi="Arial" w:cs="Arial"/>
          <w:i/>
          <w:iCs/>
          <w:color w:val="000000"/>
          <w:kern w:val="0"/>
          <w:lang w:eastAsia="pt-BR"/>
          <w14:ligatures w14:val="none"/>
        </w:rPr>
        <w:t>"O aumento deve-se a uma manutenção pontual de R$ 15k, desviando da média mensal de R$ 1k."</w:t>
      </w:r>
    </w:p>
    <w:p w14:paraId="016F7331" w14:textId="77777777" w:rsidR="002E42A9" w:rsidRPr="002E42A9" w:rsidRDefault="002E42A9" w:rsidP="002E42A9">
      <w:pPr>
        <w:numPr>
          <w:ilvl w:val="0"/>
          <w:numId w:val="9"/>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Auditoria de Taxas:</w:t>
      </w:r>
      <w:r w:rsidRPr="002E42A9">
        <w:rPr>
          <w:rFonts w:ascii="Arial" w:eastAsia="Times New Roman" w:hAnsi="Arial" w:cs="Arial"/>
          <w:color w:val="000000"/>
          <w:kern w:val="0"/>
          <w:lang w:eastAsia="pt-BR"/>
          <w14:ligatures w14:val="none"/>
        </w:rPr>
        <w:t> A IA pode escanear as milhares de linhas de "Tarifa de Cartao"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compará-las com o volume de vendas do mesmo dia ("Vendas de Produtos"), e apontar dias onde a taxa efetiva desviou do contrato padrão.</w:t>
      </w:r>
    </w:p>
    <w:p w14:paraId="2BA2D487"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2DADBCCB">
          <v:rect id="_x0000_i1028" alt="" style="width:425.2pt;height:.05pt;mso-width-percent:0;mso-height-percent:0;mso-width-percent:0;mso-height-percent:0" o:hralign="center" o:hrstd="t" o:hr="t" fillcolor="#a0a0a0" stroked="f"/>
        </w:pict>
      </w:r>
    </w:p>
    <w:p w14:paraId="20BFFB97"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Parte 6: Visualização Avançada — Gráficos Modais Interativos com Tremor/Recharts</w:t>
      </w:r>
    </w:p>
    <w:p w14:paraId="002385D8"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Para "superar a referência", a visualização de dados não pode ser estática. A estratégia é o </w:t>
      </w:r>
      <w:r w:rsidRPr="002E42A9">
        <w:rPr>
          <w:rFonts w:ascii="Arial" w:eastAsia="Times New Roman" w:hAnsi="Arial" w:cs="Arial"/>
          <w:b/>
          <w:bCs/>
          <w:color w:val="000000"/>
          <w:kern w:val="0"/>
          <w:lang w:eastAsia="pt-BR"/>
          <w14:ligatures w14:val="none"/>
        </w:rPr>
        <w:t>"Contextual Drill-Down"</w:t>
      </w:r>
      <w:r w:rsidRPr="002E42A9">
        <w:rPr>
          <w:rFonts w:ascii="Arial" w:eastAsia="Times New Roman" w:hAnsi="Arial" w:cs="Arial"/>
          <w:color w:val="000000"/>
          <w:kern w:val="0"/>
          <w:lang w:eastAsia="pt-BR"/>
          <w14:ligatures w14:val="none"/>
        </w:rPr>
        <w:t>.</w:t>
      </w:r>
    </w:p>
    <w:p w14:paraId="6DD27137"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6.1 A Pilha de Visualização: Tremor + Recharts</w:t>
      </w:r>
    </w:p>
    <w:p w14:paraId="3D4E46F4" w14:textId="77777777" w:rsidR="002E42A9" w:rsidRPr="002E42A9" w:rsidRDefault="002E42A9" w:rsidP="002E42A9">
      <w:pPr>
        <w:numPr>
          <w:ilvl w:val="0"/>
          <w:numId w:val="10"/>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Tremor:</w:t>
      </w:r>
      <w:r w:rsidRPr="002E42A9">
        <w:rPr>
          <w:rFonts w:ascii="Arial" w:eastAsia="Times New Roman" w:hAnsi="Arial" w:cs="Arial"/>
          <w:color w:val="000000"/>
          <w:kern w:val="0"/>
          <w:lang w:eastAsia="pt-BR"/>
          <w14:ligatures w14:val="none"/>
        </w:rPr>
        <w:t> Utilizado para os gráficos de "Nível Superior" (o dashboard principal). Seus componentes (</w:t>
      </w:r>
      <w:r w:rsidRPr="002E42A9">
        <w:rPr>
          <w:rFonts w:ascii="Arial" w:eastAsia="Times New Roman" w:hAnsi="Arial" w:cs="Arial"/>
          <w:color w:val="000000"/>
          <w:kern w:val="0"/>
          <w:sz w:val="20"/>
          <w:szCs w:val="20"/>
          <w:lang w:eastAsia="pt-BR"/>
          <w14:ligatures w14:val="none"/>
        </w:rPr>
        <w:t>BarChart</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sz w:val="20"/>
          <w:szCs w:val="20"/>
          <w:lang w:eastAsia="pt-BR"/>
          <w14:ligatures w14:val="none"/>
        </w:rPr>
        <w:t>DonutChart</w:t>
      </w:r>
      <w:r w:rsidRPr="002E42A9">
        <w:rPr>
          <w:rFonts w:ascii="Arial" w:eastAsia="Times New Roman" w:hAnsi="Arial" w:cs="Arial"/>
          <w:color w:val="000000"/>
          <w:kern w:val="0"/>
          <w:lang w:eastAsia="pt-BR"/>
          <w14:ligatures w14:val="none"/>
        </w:rPr>
        <w:t>) são opinativos, belos por padrão e rápidos de implementar. Usado para mostrar a tendência de 12 meses do DRE.</w:t>
      </w:r>
    </w:p>
    <w:p w14:paraId="7F04C166" w14:textId="77777777" w:rsidR="002E42A9" w:rsidRPr="002E42A9" w:rsidRDefault="002E42A9" w:rsidP="002E42A9">
      <w:pPr>
        <w:numPr>
          <w:ilvl w:val="0"/>
          <w:numId w:val="10"/>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Recharts:</w:t>
      </w:r>
      <w:r w:rsidRPr="002E42A9">
        <w:rPr>
          <w:rFonts w:ascii="Arial" w:eastAsia="Times New Roman" w:hAnsi="Arial" w:cs="Arial"/>
          <w:color w:val="000000"/>
          <w:kern w:val="0"/>
          <w:lang w:eastAsia="pt-BR"/>
          <w14:ligatures w14:val="none"/>
        </w:rPr>
        <w:t> Utilizado para os gráficos de "Nível de Detalhe" (dentro dos modais). Oferece controle granular sobre eventos, eixos compostos e renderização customizada.</w:t>
      </w:r>
    </w:p>
    <w:p w14:paraId="747C602F"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6.2 O Padrão de Interação Modal</w:t>
      </w:r>
    </w:p>
    <w:p w14:paraId="6282EE1F"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Quando um usuário clica na barra de "Julho 2024" no gráfico de DRE:</w:t>
      </w:r>
    </w:p>
    <w:p w14:paraId="53F60FA0" w14:textId="77777777" w:rsidR="002E42A9" w:rsidRPr="002E42A9" w:rsidRDefault="002E42A9" w:rsidP="002E42A9">
      <w:pPr>
        <w:numPr>
          <w:ilvl w:val="0"/>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lastRenderedPageBreak/>
        <w:t>Ação:</w:t>
      </w:r>
      <w:r w:rsidRPr="002E42A9">
        <w:rPr>
          <w:rFonts w:ascii="Arial" w:eastAsia="Times New Roman" w:hAnsi="Arial" w:cs="Arial"/>
          <w:color w:val="000000"/>
          <w:kern w:val="0"/>
          <w:lang w:eastAsia="pt-BR"/>
          <w14:ligatures w14:val="none"/>
        </w:rPr>
        <w:t> O clique dispara a abertura de um </w:t>
      </w:r>
      <w:r w:rsidRPr="002E42A9">
        <w:rPr>
          <w:rFonts w:ascii="Arial" w:eastAsia="Times New Roman" w:hAnsi="Arial" w:cs="Arial"/>
          <w:color w:val="000000"/>
          <w:kern w:val="0"/>
          <w:sz w:val="20"/>
          <w:szCs w:val="20"/>
          <w:lang w:eastAsia="pt-BR"/>
          <w14:ligatures w14:val="none"/>
        </w:rPr>
        <w:t>Dialog</w:t>
      </w:r>
      <w:r w:rsidRPr="002E42A9">
        <w:rPr>
          <w:rFonts w:ascii="Arial" w:eastAsia="Times New Roman" w:hAnsi="Arial" w:cs="Arial"/>
          <w:color w:val="000000"/>
          <w:kern w:val="0"/>
          <w:lang w:eastAsia="pt-BR"/>
          <w14:ligatures w14:val="none"/>
        </w:rPr>
        <w:t> do Radix UI.</w:t>
      </w:r>
    </w:p>
    <w:p w14:paraId="21C24A57" w14:textId="77777777" w:rsidR="002E42A9" w:rsidRPr="002E42A9" w:rsidRDefault="002E42A9" w:rsidP="002E42A9">
      <w:pPr>
        <w:numPr>
          <w:ilvl w:val="0"/>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Conteúdo do Modal:</w:t>
      </w:r>
    </w:p>
    <w:p w14:paraId="35AA9D95" w14:textId="77777777" w:rsidR="002E42A9" w:rsidRPr="002E42A9" w:rsidRDefault="002E42A9" w:rsidP="002E42A9">
      <w:pPr>
        <w:numPr>
          <w:ilvl w:val="1"/>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Topo (Recharts):</w:t>
      </w:r>
      <w:r w:rsidRPr="002E42A9">
        <w:rPr>
          <w:rFonts w:ascii="Arial" w:eastAsia="Times New Roman" w:hAnsi="Arial" w:cs="Arial"/>
          <w:color w:val="000000"/>
          <w:kern w:val="0"/>
          <w:lang w:eastAsia="pt-BR"/>
          <w14:ligatures w14:val="none"/>
        </w:rPr>
        <w:t> Um gráfico </w:t>
      </w:r>
      <w:r w:rsidRPr="002E42A9">
        <w:rPr>
          <w:rFonts w:ascii="Arial" w:eastAsia="Times New Roman" w:hAnsi="Arial" w:cs="Arial"/>
          <w:color w:val="000000"/>
          <w:kern w:val="0"/>
          <w:sz w:val="20"/>
          <w:szCs w:val="20"/>
          <w:lang w:eastAsia="pt-BR"/>
          <w14:ligatures w14:val="none"/>
        </w:rPr>
        <w:t>ComposedChart</w:t>
      </w:r>
      <w:r w:rsidRPr="002E42A9">
        <w:rPr>
          <w:rFonts w:ascii="Arial" w:eastAsia="Times New Roman" w:hAnsi="Arial" w:cs="Arial"/>
          <w:color w:val="000000"/>
          <w:kern w:val="0"/>
          <w:lang w:eastAsia="pt-BR"/>
          <w14:ligatures w14:val="none"/>
        </w:rPr>
        <w:t> detalhando Julho dia-a-dia.</w:t>
      </w:r>
    </w:p>
    <w:p w14:paraId="6D6C3CE3" w14:textId="77777777" w:rsidR="002E42A9" w:rsidRPr="002E42A9" w:rsidRDefault="002E42A9" w:rsidP="002E42A9">
      <w:pPr>
        <w:numPr>
          <w:ilvl w:val="2"/>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i/>
          <w:iCs/>
          <w:color w:val="000000"/>
          <w:kern w:val="0"/>
          <w:lang w:eastAsia="pt-BR"/>
          <w14:ligatures w14:val="none"/>
        </w:rPr>
        <w:t>Bars:</w:t>
      </w:r>
      <w:r w:rsidRPr="002E42A9">
        <w:rPr>
          <w:rFonts w:ascii="Arial" w:eastAsia="Times New Roman" w:hAnsi="Arial" w:cs="Arial"/>
          <w:color w:val="000000"/>
          <w:kern w:val="0"/>
          <w:lang w:eastAsia="pt-BR"/>
          <w14:ligatures w14:val="none"/>
        </w:rPr>
        <w:t> Volume diário de pagamentos.</w:t>
      </w:r>
    </w:p>
    <w:p w14:paraId="6C68AF8C" w14:textId="77777777" w:rsidR="002E42A9" w:rsidRPr="002E42A9" w:rsidRDefault="002E42A9" w:rsidP="002E42A9">
      <w:pPr>
        <w:numPr>
          <w:ilvl w:val="2"/>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i/>
          <w:iCs/>
          <w:color w:val="000000"/>
          <w:kern w:val="0"/>
          <w:lang w:eastAsia="pt-BR"/>
          <w14:ligatures w14:val="none"/>
        </w:rPr>
        <w:t>Line:</w:t>
      </w:r>
      <w:r w:rsidRPr="002E42A9">
        <w:rPr>
          <w:rFonts w:ascii="Arial" w:eastAsia="Times New Roman" w:hAnsi="Arial" w:cs="Arial"/>
          <w:color w:val="000000"/>
          <w:kern w:val="0"/>
          <w:lang w:eastAsia="pt-BR"/>
          <w14:ligatures w14:val="none"/>
        </w:rPr>
        <w:t> Saldo acumulado do mês.</w:t>
      </w:r>
    </w:p>
    <w:p w14:paraId="07237B09" w14:textId="77777777" w:rsidR="002E42A9" w:rsidRPr="002E42A9" w:rsidRDefault="002E42A9" w:rsidP="002E42A9">
      <w:pPr>
        <w:numPr>
          <w:ilvl w:val="2"/>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i/>
          <w:iCs/>
          <w:color w:val="000000"/>
          <w:kern w:val="0"/>
          <w:lang w:eastAsia="pt-BR"/>
          <w14:ligatures w14:val="none"/>
        </w:rPr>
        <w:t>ReferenceLine:</w:t>
      </w:r>
      <w:r w:rsidRPr="002E42A9">
        <w:rPr>
          <w:rFonts w:ascii="Arial" w:eastAsia="Times New Roman" w:hAnsi="Arial" w:cs="Arial"/>
          <w:color w:val="000000"/>
          <w:kern w:val="0"/>
          <w:lang w:eastAsia="pt-BR"/>
          <w14:ligatures w14:val="none"/>
        </w:rPr>
        <w:t> Uma linha pontilhada indicando o "Ponto de Equilíbrio" (Breakeven) do mês.</w:t>
      </w:r>
    </w:p>
    <w:p w14:paraId="7733AE68" w14:textId="77777777" w:rsidR="002E42A9" w:rsidRPr="002E42A9" w:rsidRDefault="002E42A9" w:rsidP="002E42A9">
      <w:pPr>
        <w:numPr>
          <w:ilvl w:val="1"/>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Meio (Inteligência MCP):</w:t>
      </w:r>
      <w:r w:rsidRPr="002E42A9">
        <w:rPr>
          <w:rFonts w:ascii="Arial" w:eastAsia="Times New Roman" w:hAnsi="Arial" w:cs="Arial"/>
          <w:color w:val="000000"/>
          <w:kern w:val="0"/>
          <w:lang w:eastAsia="pt-BR"/>
          <w14:ligatures w14:val="none"/>
        </w:rPr>
        <w:t> Um bloco de texto gerado via streaming onde a IA resume: "Julho apresentou despesas acima da média devido à concentração de parcelas de seguros (Bradesco Auto/RE) no valor de R$ 4.337,39.</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w:t>
      </w:r>
    </w:p>
    <w:p w14:paraId="14B6B715" w14:textId="77777777" w:rsidR="002E42A9" w:rsidRPr="002E42A9" w:rsidRDefault="002E42A9" w:rsidP="002E42A9">
      <w:pPr>
        <w:numPr>
          <w:ilvl w:val="1"/>
          <w:numId w:val="11"/>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Base (TanStack Table):</w:t>
      </w:r>
      <w:r w:rsidRPr="002E42A9">
        <w:rPr>
          <w:rFonts w:ascii="Arial" w:eastAsia="Times New Roman" w:hAnsi="Arial" w:cs="Arial"/>
          <w:color w:val="000000"/>
          <w:kern w:val="0"/>
          <w:lang w:eastAsia="pt-BR"/>
          <w14:ligatures w14:val="none"/>
        </w:rPr>
        <w:t> A tabela filtrada mostrando apenas as transações daquele mês, com a virtualização ativa.</w:t>
      </w:r>
    </w:p>
    <w:p w14:paraId="409A584D"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6.3 Visualização de Amortização de Passivos</w:t>
      </w:r>
    </w:p>
    <w:p w14:paraId="7C3A5A3C"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Uma visualização específica necessária para o caso VOLPE é o </w:t>
      </w:r>
      <w:r w:rsidRPr="002E42A9">
        <w:rPr>
          <w:rFonts w:ascii="Arial" w:eastAsia="Times New Roman" w:hAnsi="Arial" w:cs="Arial"/>
          <w:b/>
          <w:bCs/>
          <w:color w:val="000000"/>
          <w:kern w:val="0"/>
          <w:lang w:eastAsia="pt-BR"/>
          <w14:ligatures w14:val="none"/>
        </w:rPr>
        <w:t>Perfil de Dívida</w:t>
      </w:r>
      <w:r w:rsidRPr="002E42A9">
        <w:rPr>
          <w:rFonts w:ascii="Arial" w:eastAsia="Times New Roman" w:hAnsi="Arial" w:cs="Arial"/>
          <w:color w:val="000000"/>
          <w:kern w:val="0"/>
          <w:lang w:eastAsia="pt-BR"/>
          <w14:ligatures w14:val="none"/>
        </w:rPr>
        <w:t>. Dado que existem múltiplos parcelamentos (ICMS, CSLL, IRPJ) com datas finais diferentes (2024, 2025, 2026)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w:t>
      </w:r>
    </w:p>
    <w:p w14:paraId="65A4AEF3" w14:textId="77777777" w:rsidR="002E42A9" w:rsidRPr="002E42A9" w:rsidRDefault="002E42A9" w:rsidP="002E42A9">
      <w:pPr>
        <w:numPr>
          <w:ilvl w:val="0"/>
          <w:numId w:val="12"/>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Utilizamos um </w:t>
      </w:r>
      <w:r w:rsidRPr="002E42A9">
        <w:rPr>
          <w:rFonts w:ascii="Arial" w:eastAsia="Times New Roman" w:hAnsi="Arial" w:cs="Arial"/>
          <w:color w:val="000000"/>
          <w:kern w:val="0"/>
          <w:sz w:val="20"/>
          <w:szCs w:val="20"/>
          <w:lang w:eastAsia="pt-BR"/>
          <w14:ligatures w14:val="none"/>
        </w:rPr>
        <w:t>StackedAreaChart</w:t>
      </w:r>
      <w:r w:rsidRPr="002E42A9">
        <w:rPr>
          <w:rFonts w:ascii="Arial" w:eastAsia="Times New Roman" w:hAnsi="Arial" w:cs="Arial"/>
          <w:color w:val="000000"/>
          <w:kern w:val="0"/>
          <w:lang w:eastAsia="pt-BR"/>
          <w14:ligatures w14:val="none"/>
        </w:rPr>
        <w:t> (Recharts).</w:t>
      </w:r>
    </w:p>
    <w:p w14:paraId="79D8838E" w14:textId="77777777" w:rsidR="002E42A9" w:rsidRPr="002E42A9" w:rsidRDefault="002E42A9" w:rsidP="002E42A9">
      <w:pPr>
        <w:numPr>
          <w:ilvl w:val="0"/>
          <w:numId w:val="12"/>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Eixo X:</w:t>
      </w:r>
      <w:r w:rsidRPr="002E42A9">
        <w:rPr>
          <w:rFonts w:ascii="Arial" w:eastAsia="Times New Roman" w:hAnsi="Arial" w:cs="Arial"/>
          <w:color w:val="000000"/>
          <w:kern w:val="0"/>
          <w:lang w:eastAsia="pt-BR"/>
          <w14:ligatures w14:val="none"/>
        </w:rPr>
        <w:t> Tempo (Jan 2024 a Dez 2026).</w:t>
      </w:r>
    </w:p>
    <w:p w14:paraId="023BD248" w14:textId="77777777" w:rsidR="002E42A9" w:rsidRPr="002E42A9" w:rsidRDefault="002E42A9" w:rsidP="002E42A9">
      <w:pPr>
        <w:numPr>
          <w:ilvl w:val="0"/>
          <w:numId w:val="12"/>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Layers:</w:t>
      </w:r>
      <w:r w:rsidRPr="002E42A9">
        <w:rPr>
          <w:rFonts w:ascii="Arial" w:eastAsia="Times New Roman" w:hAnsi="Arial" w:cs="Arial"/>
          <w:color w:val="000000"/>
          <w:kern w:val="0"/>
          <w:lang w:eastAsia="pt-BR"/>
          <w14:ligatures w14:val="none"/>
        </w:rPr>
        <w:t> Cada "Empilhamento" é um contrato de parcelamento.</w:t>
      </w:r>
    </w:p>
    <w:p w14:paraId="4BFEB2A7" w14:textId="77777777" w:rsidR="002E42A9" w:rsidRPr="002E42A9" w:rsidRDefault="002E42A9" w:rsidP="002E42A9">
      <w:pPr>
        <w:numPr>
          <w:ilvl w:val="0"/>
          <w:numId w:val="12"/>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Insight:</w:t>
      </w:r>
      <w:r w:rsidRPr="002E42A9">
        <w:rPr>
          <w:rFonts w:ascii="Arial" w:eastAsia="Times New Roman" w:hAnsi="Arial" w:cs="Arial"/>
          <w:color w:val="000000"/>
          <w:kern w:val="0"/>
          <w:lang w:eastAsia="pt-BR"/>
          <w14:ligatures w14:val="none"/>
        </w:rPr>
        <w:t> O gráfico mostra visualmente a "escada" de redução de dívida, permitindo ao CFO ver claramente quando o fluxo de caixa será aliviado pelo fim do parcelamento do ICMS (em Maio de 2025), antes mesmo do fim do CSLL (em Outubro de 2026).</w:t>
      </w:r>
    </w:p>
    <w:p w14:paraId="051887BE"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6E5461DF">
          <v:rect id="_x0000_i1027" alt="" style="width:425.2pt;height:.05pt;mso-width-percent:0;mso-height-percent:0;mso-width-percent:0;mso-height-percent:0" o:hralign="center" o:hrstd="t" o:hr="t" fillcolor="#a0a0a0" stroked="f"/>
        </w:pict>
      </w:r>
    </w:p>
    <w:p w14:paraId="191C2AB0"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Parte 7: Dependências Essenciais e Utilitários</w:t>
      </w:r>
    </w:p>
    <w:p w14:paraId="689E7149"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Para suportar essa arquitetura, bibliotecas auxiliares são cruciais:</w:t>
      </w:r>
    </w:p>
    <w:p w14:paraId="216CE513" w14:textId="77777777" w:rsidR="002E42A9" w:rsidRPr="002E42A9" w:rsidRDefault="002E42A9" w:rsidP="002E42A9">
      <w:pPr>
        <w:numPr>
          <w:ilvl w:val="0"/>
          <w:numId w:val="1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date-fns</w:t>
      </w:r>
      <w:r w:rsidRPr="002E42A9">
        <w:rPr>
          <w:rFonts w:ascii="Arial" w:eastAsia="Times New Roman" w:hAnsi="Arial" w:cs="Arial"/>
          <w:b/>
          <w:bCs/>
          <w:color w:val="000000"/>
          <w:kern w:val="0"/>
          <w:lang w:eastAsia="pt-BR"/>
          <w14:ligatures w14:val="none"/>
        </w:rPr>
        <w:t> ou </w:t>
      </w:r>
      <w:r w:rsidRPr="002E42A9">
        <w:rPr>
          <w:rFonts w:ascii="Arial" w:eastAsia="Times New Roman" w:hAnsi="Arial" w:cs="Arial"/>
          <w:b/>
          <w:bCs/>
          <w:color w:val="000000"/>
          <w:kern w:val="0"/>
          <w:sz w:val="20"/>
          <w:szCs w:val="20"/>
          <w:lang w:eastAsia="pt-BR"/>
          <w14:ligatures w14:val="none"/>
        </w:rPr>
        <w:t>date-fns-tz</w:t>
      </w:r>
      <w:r w:rsidRPr="002E42A9">
        <w:rPr>
          <w:rFonts w:ascii="Arial" w:eastAsia="Times New Roman" w:hAnsi="Arial" w:cs="Arial"/>
          <w:b/>
          <w:bCs/>
          <w:color w:val="000000"/>
          <w:kern w:val="0"/>
          <w:lang w:eastAsia="pt-BR"/>
          <w14:ligatures w14:val="none"/>
        </w:rPr>
        <w:t>:</w:t>
      </w:r>
      <w:r w:rsidRPr="002E42A9">
        <w:rPr>
          <w:rFonts w:ascii="Arial" w:eastAsia="Times New Roman" w:hAnsi="Arial" w:cs="Arial"/>
          <w:color w:val="000000"/>
          <w:kern w:val="0"/>
          <w:lang w:eastAsia="pt-BR"/>
          <w14:ligatures w14:val="none"/>
        </w:rPr>
        <w:t> O manuseio de datas financeiras exige precisão de fuso horário. A diferença entre a data de "Vencimento" e "Liquidação"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é o "Float". Calcular a média de dias de float exige aritmética de datas robusta que </w:t>
      </w:r>
      <w:r w:rsidRPr="002E42A9">
        <w:rPr>
          <w:rFonts w:ascii="Arial" w:eastAsia="Times New Roman" w:hAnsi="Arial" w:cs="Arial"/>
          <w:color w:val="000000"/>
          <w:kern w:val="0"/>
          <w:sz w:val="20"/>
          <w:szCs w:val="20"/>
          <w:lang w:eastAsia="pt-BR"/>
          <w14:ligatures w14:val="none"/>
        </w:rPr>
        <w:t>date-fns</w:t>
      </w:r>
      <w:r w:rsidRPr="002E42A9">
        <w:rPr>
          <w:rFonts w:ascii="Arial" w:eastAsia="Times New Roman" w:hAnsi="Arial" w:cs="Arial"/>
          <w:color w:val="000000"/>
          <w:kern w:val="0"/>
          <w:lang w:eastAsia="pt-BR"/>
          <w14:ligatures w14:val="none"/>
        </w:rPr>
        <w:t> fornece.</w:t>
      </w:r>
    </w:p>
    <w:p w14:paraId="699CBE6D" w14:textId="77777777" w:rsidR="002E42A9" w:rsidRPr="002E42A9" w:rsidRDefault="002E42A9" w:rsidP="002E42A9">
      <w:pPr>
        <w:numPr>
          <w:ilvl w:val="0"/>
          <w:numId w:val="1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lucide-react</w:t>
      </w:r>
      <w:r w:rsidRPr="002E42A9">
        <w:rPr>
          <w:rFonts w:ascii="Arial" w:eastAsia="Times New Roman" w:hAnsi="Arial" w:cs="Arial"/>
          <w:b/>
          <w:bCs/>
          <w:color w:val="000000"/>
          <w:kern w:val="0"/>
          <w:lang w:eastAsia="pt-BR"/>
          <w14:ligatures w14:val="none"/>
        </w:rPr>
        <w:t>:</w:t>
      </w:r>
      <w:r w:rsidRPr="002E42A9">
        <w:rPr>
          <w:rFonts w:ascii="Arial" w:eastAsia="Times New Roman" w:hAnsi="Arial" w:cs="Arial"/>
          <w:color w:val="000000"/>
          <w:kern w:val="0"/>
          <w:lang w:eastAsia="pt-BR"/>
          <w14:ligatures w14:val="none"/>
        </w:rPr>
        <w:t> Ícones consistentes para o ShadcnUI (e.g., ícone de "TrendingUp" para receitas, "AlertTriangle" para faturas vencidas).</w:t>
      </w:r>
    </w:p>
    <w:p w14:paraId="3D42421A" w14:textId="77777777" w:rsidR="002E42A9" w:rsidRPr="002E42A9" w:rsidRDefault="002E42A9" w:rsidP="002E42A9">
      <w:pPr>
        <w:numPr>
          <w:ilvl w:val="0"/>
          <w:numId w:val="1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react-number-format</w:t>
      </w:r>
      <w:r w:rsidRPr="002E42A9">
        <w:rPr>
          <w:rFonts w:ascii="Arial" w:eastAsia="Times New Roman" w:hAnsi="Arial" w:cs="Arial"/>
          <w:b/>
          <w:bCs/>
          <w:color w:val="000000"/>
          <w:kern w:val="0"/>
          <w:lang w:eastAsia="pt-BR"/>
          <w14:ligatures w14:val="none"/>
        </w:rPr>
        <w:t>:</w:t>
      </w:r>
      <w:r w:rsidRPr="002E42A9">
        <w:rPr>
          <w:rFonts w:ascii="Arial" w:eastAsia="Times New Roman" w:hAnsi="Arial" w:cs="Arial"/>
          <w:color w:val="000000"/>
          <w:kern w:val="0"/>
          <w:lang w:eastAsia="pt-BR"/>
          <w14:ligatures w14:val="none"/>
        </w:rPr>
        <w:t> Obrigatório para inputs. Permite que o usuário digite valores monetários naturalmente, gerenciando a conversão de centavos e separadores de milhar (padrão </w:t>
      </w:r>
      <w:r w:rsidRPr="002E42A9">
        <w:rPr>
          <w:rFonts w:ascii="Arial" w:eastAsia="Times New Roman" w:hAnsi="Arial" w:cs="Arial"/>
          <w:color w:val="000000"/>
          <w:kern w:val="0"/>
          <w:sz w:val="20"/>
          <w:szCs w:val="20"/>
          <w:lang w:eastAsia="pt-BR"/>
          <w14:ligatures w14:val="none"/>
        </w:rPr>
        <w:t>pt-BR</w:t>
      </w:r>
      <w:r w:rsidRPr="002E42A9">
        <w:rPr>
          <w:rFonts w:ascii="Arial" w:eastAsia="Times New Roman" w:hAnsi="Arial" w:cs="Arial"/>
          <w:color w:val="000000"/>
          <w:kern w:val="0"/>
          <w:lang w:eastAsia="pt-BR"/>
          <w14:ligatures w14:val="none"/>
        </w:rPr>
        <w:t>).</w:t>
      </w:r>
    </w:p>
    <w:p w14:paraId="31EEA581" w14:textId="77777777" w:rsidR="002E42A9" w:rsidRPr="002E42A9" w:rsidRDefault="002E42A9" w:rsidP="002E42A9">
      <w:pPr>
        <w:numPr>
          <w:ilvl w:val="0"/>
          <w:numId w:val="13"/>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zod</w:t>
      </w:r>
      <w:r w:rsidRPr="002E42A9">
        <w:rPr>
          <w:rFonts w:ascii="Arial" w:eastAsia="Times New Roman" w:hAnsi="Arial" w:cs="Arial"/>
          <w:b/>
          <w:bCs/>
          <w:color w:val="000000"/>
          <w:kern w:val="0"/>
          <w:lang w:eastAsia="pt-BR"/>
          <w14:ligatures w14:val="none"/>
        </w:rPr>
        <w:t>:</w:t>
      </w:r>
      <w:r w:rsidRPr="002E42A9">
        <w:rPr>
          <w:rFonts w:ascii="Arial" w:eastAsia="Times New Roman" w:hAnsi="Arial" w:cs="Arial"/>
          <w:color w:val="000000"/>
          <w:kern w:val="0"/>
          <w:lang w:eastAsia="pt-BR"/>
          <w14:ligatures w14:val="none"/>
        </w:rPr>
        <w:t> Para validação de esquemas. Tanto nas Server Actions (validar o input do usuário) quanto na ingestão dos CSVs (garantir que o "Valor Líquido" seja numérico e não string).</w:t>
      </w:r>
    </w:p>
    <w:p w14:paraId="2B501956"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1BA5F38B">
          <v:rect id="_x0000_i1026" alt="" style="width:425.2pt;height:.05pt;mso-width-percent:0;mso-height-percent:0;mso-width-percent:0;mso-height-percent:0" o:hralign="center" o:hrstd="t" o:hr="t" fillcolor="#a0a0a0" stroked="f"/>
        </w:pict>
      </w:r>
    </w:p>
    <w:p w14:paraId="3AE8B90E"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Conclusão e Roteiro de Implementação</w:t>
      </w:r>
    </w:p>
    <w:p w14:paraId="0D102C80"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lastRenderedPageBreak/>
        <w:t>A stack tecnológica definida neste relatório — </w:t>
      </w:r>
      <w:r w:rsidRPr="002E42A9">
        <w:rPr>
          <w:rFonts w:ascii="Arial" w:eastAsia="Times New Roman" w:hAnsi="Arial" w:cs="Arial"/>
          <w:b/>
          <w:bCs/>
          <w:color w:val="000000"/>
          <w:kern w:val="0"/>
          <w:lang w:eastAsia="pt-BR"/>
          <w14:ligatures w14:val="none"/>
        </w:rPr>
        <w:t>Next.js (App Router), Tailwind, ShadcnUI, Radix UI, TanStack Table e Zustand</w:t>
      </w:r>
      <w:r w:rsidRPr="002E42A9">
        <w:rPr>
          <w:rFonts w:ascii="Arial" w:eastAsia="Times New Roman" w:hAnsi="Arial" w:cs="Arial"/>
          <w:color w:val="000000"/>
          <w:kern w:val="0"/>
          <w:lang w:eastAsia="pt-BR"/>
          <w14:ligatures w14:val="none"/>
        </w:rPr>
        <w:t>, potencializada por </w:t>
      </w:r>
      <w:r w:rsidRPr="002E42A9">
        <w:rPr>
          <w:rFonts w:ascii="Arial" w:eastAsia="Times New Roman" w:hAnsi="Arial" w:cs="Arial"/>
          <w:b/>
          <w:bCs/>
          <w:color w:val="000000"/>
          <w:kern w:val="0"/>
          <w:lang w:eastAsia="pt-BR"/>
          <w14:ligatures w14:val="none"/>
        </w:rPr>
        <w:t>MCP</w:t>
      </w:r>
      <w:r w:rsidRPr="002E42A9">
        <w:rPr>
          <w:rFonts w:ascii="Arial" w:eastAsia="Times New Roman" w:hAnsi="Arial" w:cs="Arial"/>
          <w:color w:val="000000"/>
          <w:kern w:val="0"/>
          <w:lang w:eastAsia="pt-BR"/>
          <w14:ligatures w14:val="none"/>
        </w:rPr>
        <w:t> e gráficos interativos híbridos (</w:t>
      </w:r>
      <w:r w:rsidRPr="002E42A9">
        <w:rPr>
          <w:rFonts w:ascii="Arial" w:eastAsia="Times New Roman" w:hAnsi="Arial" w:cs="Arial"/>
          <w:b/>
          <w:bCs/>
          <w:color w:val="000000"/>
          <w:kern w:val="0"/>
          <w:lang w:eastAsia="pt-BR"/>
          <w14:ligatures w14:val="none"/>
        </w:rPr>
        <w:t>Tremor/Recharts</w:t>
      </w:r>
      <w:r w:rsidRPr="002E42A9">
        <w:rPr>
          <w:rFonts w:ascii="Arial" w:eastAsia="Times New Roman" w:hAnsi="Arial" w:cs="Arial"/>
          <w:color w:val="000000"/>
          <w:kern w:val="0"/>
          <w:lang w:eastAsia="pt-BR"/>
          <w14:ligatures w14:val="none"/>
        </w:rPr>
        <w:t>) — representa o estado da arte para sistemas financeiros.</w:t>
      </w:r>
    </w:p>
    <w:p w14:paraId="4087D8E2"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Ela resolve diretamente os problemas de escala apresentados pelos dados da VOLPE (virtualização para milhares de taxas de cartão), complexidade de negócio (agregação server-side para DRE hierárquico) e necessidade de inteligência (MCP para análise de variância de custos). A implementação desta arquitetura não apenas entrega um dashboard, mas uma plataforma analítica auditável, performática e preparada para o futuro da contabilidade assistida por IA.</w:t>
      </w:r>
    </w:p>
    <w:p w14:paraId="36981A4A"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Tabela Resumo da Stack Tecnológica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2332"/>
        <w:gridCol w:w="4348"/>
      </w:tblGrid>
      <w:tr w:rsidR="002E42A9" w:rsidRPr="002E42A9" w14:paraId="00EA47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5479A"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Camada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893B3"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Tecnologia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6E8B5"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Justificativa Técnica no Contexto VOLPE</w:t>
            </w:r>
          </w:p>
        </w:tc>
      </w:tr>
      <w:tr w:rsidR="002E42A9" w:rsidRPr="002E42A9" w14:paraId="06D5A3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1CB28"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B9A25"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Next.js (App Router)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54FDD"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Agregação de DRE no servidor (RSC), Streaming de dados pesados.</w:t>
            </w:r>
          </w:p>
        </w:tc>
      </w:tr>
      <w:tr w:rsidR="002E42A9" w:rsidRPr="002E42A9" w14:paraId="09CAC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3493B"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Linguagem</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D2BEF"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TypeScript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B3EF3"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Segurança de tipos estrita para valores monetários e datas.</w:t>
            </w:r>
          </w:p>
        </w:tc>
      </w:tr>
      <w:tr w:rsidR="002E42A9" w:rsidRPr="002E42A9" w14:paraId="5CA49F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A4BEFC"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Estilo</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FAEED"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Tailwind 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268AB9"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Design system de alta densidade, performance de renderização CSS.</w:t>
            </w:r>
          </w:p>
        </w:tc>
      </w:tr>
      <w:tr w:rsidR="002E42A9" w:rsidRPr="002E42A9" w14:paraId="74B504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203C3"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Componentes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71659"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ShadcnUI / Radix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73112B3F"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Acessibilidade (teclado), Modais robustos para drill-down.</w:t>
            </w:r>
          </w:p>
        </w:tc>
      </w:tr>
      <w:tr w:rsidR="002E42A9" w:rsidRPr="002E42A9" w14:paraId="7A128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8227C2"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Estado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C2A80"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Zustand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72EFD"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Gerenciamento de filtros globais e atualizações transientes de UI.</w:t>
            </w:r>
          </w:p>
        </w:tc>
      </w:tr>
      <w:tr w:rsidR="002E42A9" w:rsidRPr="002E42A9" w14:paraId="497846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42C17"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Tabelas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C4D4B"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TanStack Table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DEF0B"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Virtualização de milhares de linhas (taxas Stone), Agrupamento hierárquico (DRE).</w:t>
            </w:r>
          </w:p>
        </w:tc>
      </w:tr>
      <w:tr w:rsidR="002E42A9" w:rsidRPr="002E42A9" w14:paraId="28DBBF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3D025E"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Gráficos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0929D"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Tremor &amp; Recharts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5548EE"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Híbrido: Tremor para dashboard rápido, Recharts para modais detalhados.</w:t>
            </w:r>
          </w:p>
        </w:tc>
      </w:tr>
      <w:tr w:rsidR="002E42A9" w:rsidRPr="002E42A9" w14:paraId="778451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3765B"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Inteligência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045FE"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Model Context Protocol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9FF50"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Interface padronizada para LLMs analisarem anomalias nos dados.</w:t>
            </w:r>
          </w:p>
        </w:tc>
      </w:tr>
      <w:tr w:rsidR="002E42A9" w:rsidRPr="002E42A9" w14:paraId="7A4DC7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494986"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Banco de Dados</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65698"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PostgreSQL + Prisma/Drizzle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4F8E9" w14:textId="77777777" w:rsidR="002E42A9" w:rsidRPr="002E42A9" w:rsidRDefault="002E42A9" w:rsidP="002E42A9">
            <w:pPr>
              <w:spacing w:after="0"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Relacional, ideal para transações e integridade referencial.</w:t>
            </w:r>
          </w:p>
        </w:tc>
      </w:tr>
    </w:tbl>
    <w:p w14:paraId="14EB76EF" w14:textId="77777777" w:rsidR="002E42A9" w:rsidRPr="002E42A9" w:rsidRDefault="008576DB" w:rsidP="002E42A9">
      <w:pPr>
        <w:spacing w:after="0" w:line="240" w:lineRule="auto"/>
        <w:rPr>
          <w:rFonts w:ascii="Arial" w:eastAsia="Times New Roman" w:hAnsi="Arial" w:cs="Arial"/>
          <w:kern w:val="0"/>
          <w:lang w:eastAsia="pt-BR"/>
          <w14:ligatures w14:val="none"/>
        </w:rPr>
      </w:pPr>
      <w:r w:rsidRPr="008576DB">
        <w:rPr>
          <w:rFonts w:ascii="Times New Roman" w:eastAsia="Times New Roman" w:hAnsi="Times New Roman" w:cs="Times New Roman"/>
          <w:noProof/>
          <w:kern w:val="0"/>
          <w:lang w:eastAsia="pt-BR"/>
        </w:rPr>
        <w:pict w14:anchorId="7F408241">
          <v:rect id="_x0000_i1025" alt="" style="width:425.2pt;height:.05pt;mso-width-percent:0;mso-height-percent:0;mso-width-percent:0;mso-height-percent:0" o:hralign="center" o:hrstd="t" o:hr="t" fillcolor="#a0a0a0" stroked="f"/>
        </w:pict>
      </w:r>
    </w:p>
    <w:p w14:paraId="283E64D9" w14:textId="77777777" w:rsidR="002E42A9" w:rsidRPr="002E42A9" w:rsidRDefault="002E42A9" w:rsidP="002E42A9">
      <w:pPr>
        <w:spacing w:after="100" w:afterAutospacing="1" w:line="240" w:lineRule="auto"/>
        <w:outlineLvl w:val="0"/>
        <w:rPr>
          <w:rFonts w:ascii="Arial" w:eastAsia="Times New Roman" w:hAnsi="Arial" w:cs="Arial"/>
          <w:b/>
          <w:bCs/>
          <w:color w:val="000000"/>
          <w:kern w:val="36"/>
          <w:sz w:val="48"/>
          <w:szCs w:val="48"/>
          <w:lang w:eastAsia="pt-BR"/>
          <w14:ligatures w14:val="none"/>
        </w:rPr>
      </w:pPr>
      <w:r w:rsidRPr="002E42A9">
        <w:rPr>
          <w:rFonts w:ascii="Arial" w:eastAsia="Times New Roman" w:hAnsi="Arial" w:cs="Arial"/>
          <w:b/>
          <w:bCs/>
          <w:color w:val="000000"/>
          <w:kern w:val="36"/>
          <w:sz w:val="48"/>
          <w:szCs w:val="48"/>
          <w:lang w:eastAsia="pt-BR"/>
          <w14:ligatures w14:val="none"/>
        </w:rPr>
        <w:t>Relatório Técnico Detalhado: Análise e Integração de Dados</w:t>
      </w:r>
    </w:p>
    <w:p w14:paraId="7CAFB13E"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seguir, detalhamos como cada componente da arquitetura interage com os dados específicos fornecidos nos artefatos de pesquisa.</w:t>
      </w:r>
    </w:p>
    <w:p w14:paraId="7B2FA49C"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lastRenderedPageBreak/>
        <w:t>1. Estratégia de Ingestão e Normalização de Dados</w:t>
      </w:r>
    </w:p>
    <w:p w14:paraId="6DCAF612"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1.1 Tratamento do Relatório Unificado (CSV)</w:t>
      </w:r>
    </w:p>
    <w:p w14:paraId="1E4F050E"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O arquivo </w:t>
      </w:r>
      <w:r w:rsidRPr="002E42A9">
        <w:rPr>
          <w:rFonts w:ascii="Arial" w:eastAsia="Times New Roman" w:hAnsi="Arial" w:cs="Arial"/>
          <w:color w:val="000000"/>
          <w:kern w:val="0"/>
          <w:sz w:val="20"/>
          <w:szCs w:val="20"/>
          <w:lang w:eastAsia="pt-BR"/>
          <w14:ligatures w14:val="none"/>
        </w:rPr>
        <w:t>Relatório Unificado.csv</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é a fonte da verdade (Source of Truth). A arquitetura deve prever um pipeline de ETL (Extract, Transform, Load) robusto.</w:t>
      </w:r>
    </w:p>
    <w:p w14:paraId="5881AEF2" w14:textId="77777777" w:rsidR="002E42A9" w:rsidRPr="002E42A9" w:rsidRDefault="002E42A9" w:rsidP="002E42A9">
      <w:pPr>
        <w:numPr>
          <w:ilvl w:val="0"/>
          <w:numId w:val="14"/>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Desafio das Microtransações:</w:t>
      </w:r>
      <w:r w:rsidRPr="002E42A9">
        <w:rPr>
          <w:rFonts w:ascii="Arial" w:eastAsia="Times New Roman" w:hAnsi="Arial" w:cs="Arial"/>
          <w:color w:val="000000"/>
          <w:kern w:val="0"/>
          <w:lang w:eastAsia="pt-BR"/>
          <w14:ligatures w14:val="none"/>
        </w:rPr>
        <w:t> O relatório contém centenas de linhas de taxas de cartão ("Tarifa de Cartao", "Ajustes a Crédito").</w:t>
      </w:r>
    </w:p>
    <w:p w14:paraId="022150FC" w14:textId="77777777" w:rsidR="002E42A9" w:rsidRPr="002E42A9" w:rsidRDefault="002E42A9" w:rsidP="002E42A9">
      <w:pPr>
        <w:numPr>
          <w:ilvl w:val="1"/>
          <w:numId w:val="14"/>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i/>
          <w:iCs/>
          <w:color w:val="000000"/>
          <w:kern w:val="0"/>
          <w:lang w:eastAsia="pt-BR"/>
          <w14:ligatures w14:val="none"/>
        </w:rPr>
        <w:t>Solução:</w:t>
      </w:r>
      <w:r w:rsidRPr="002E42A9">
        <w:rPr>
          <w:rFonts w:ascii="Arial" w:eastAsia="Times New Roman" w:hAnsi="Arial" w:cs="Arial"/>
          <w:color w:val="000000"/>
          <w:kern w:val="0"/>
          <w:lang w:eastAsia="pt-BR"/>
          <w14:ligatures w14:val="none"/>
        </w:rPr>
        <w:t> O script de ingestão deve identificar essas linhas (pelo padrão "431-9 - Tarifa de Cartao") e criar uma tabela agregada de </w:t>
      </w:r>
      <w:r w:rsidRPr="002E42A9">
        <w:rPr>
          <w:rFonts w:ascii="Arial" w:eastAsia="Times New Roman" w:hAnsi="Arial" w:cs="Arial"/>
          <w:color w:val="000000"/>
          <w:kern w:val="0"/>
          <w:sz w:val="20"/>
          <w:szCs w:val="20"/>
          <w:lang w:eastAsia="pt-BR"/>
          <w14:ligatures w14:val="none"/>
        </w:rPr>
        <w:t>DailyCardFees</w:t>
      </w:r>
      <w:r w:rsidRPr="002E42A9">
        <w:rPr>
          <w:rFonts w:ascii="Arial" w:eastAsia="Times New Roman" w:hAnsi="Arial" w:cs="Arial"/>
          <w:color w:val="000000"/>
          <w:kern w:val="0"/>
          <w:lang w:eastAsia="pt-BR"/>
          <w14:ligatures w14:val="none"/>
        </w:rPr>
        <w:t> no banco de dados. Isso acelera a consulta do DRE, evitando somar centavos em tempo real a cada requisição.</w:t>
      </w:r>
    </w:p>
    <w:p w14:paraId="532C8992" w14:textId="77777777" w:rsidR="002E42A9" w:rsidRPr="002E42A9" w:rsidRDefault="002E42A9" w:rsidP="002E42A9">
      <w:pPr>
        <w:numPr>
          <w:ilvl w:val="0"/>
          <w:numId w:val="14"/>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Detecção de Parcelamentos:</w:t>
      </w:r>
      <w:r w:rsidRPr="002E42A9">
        <w:rPr>
          <w:rFonts w:ascii="Arial" w:eastAsia="Times New Roman" w:hAnsi="Arial" w:cs="Arial"/>
          <w:color w:val="000000"/>
          <w:kern w:val="0"/>
          <w:lang w:eastAsia="pt-BR"/>
          <w14:ligatures w14:val="none"/>
        </w:rPr>
        <w:t> As colunas "Parcela" (e.g., "1/12", "38/47") e "Plano de Contas" (e.g., "211-1 - Tributos Parcelados") devem ser parseadas para criar uma entidade </w:t>
      </w:r>
      <w:r w:rsidRPr="002E42A9">
        <w:rPr>
          <w:rFonts w:ascii="Arial" w:eastAsia="Times New Roman" w:hAnsi="Arial" w:cs="Arial"/>
          <w:color w:val="000000"/>
          <w:kern w:val="0"/>
          <w:sz w:val="20"/>
          <w:szCs w:val="20"/>
          <w:lang w:eastAsia="pt-BR"/>
          <w14:ligatures w14:val="none"/>
        </w:rPr>
        <w:t>InstallmentPlan</w:t>
      </w:r>
      <w:r w:rsidRPr="002E42A9">
        <w:rPr>
          <w:rFonts w:ascii="Arial" w:eastAsia="Times New Roman" w:hAnsi="Arial" w:cs="Arial"/>
          <w:color w:val="000000"/>
          <w:kern w:val="0"/>
          <w:lang w:eastAsia="pt-BR"/>
          <w14:ligatures w14:val="none"/>
        </w:rPr>
        <w:t>. Isso permite que o dashboard projete o fluxo de caixa futuro. Se a parcela atual é "38/47", o sistema sabe projetar automaticamente mais 9 meses de fluxo de caixa negativo para essa linha, essencial para o DFC.</w:t>
      </w:r>
    </w:p>
    <w:p w14:paraId="6EA67E74"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1.2 Estrutura Hierárquica do DRE</w:t>
      </w:r>
    </w:p>
    <w:p w14:paraId="044E25E0"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O arquivo </w:t>
      </w:r>
      <w:r w:rsidRPr="002E42A9">
        <w:rPr>
          <w:rFonts w:ascii="Arial" w:eastAsia="Times New Roman" w:hAnsi="Arial" w:cs="Arial"/>
          <w:color w:val="000000"/>
          <w:kern w:val="0"/>
          <w:sz w:val="20"/>
          <w:szCs w:val="20"/>
          <w:lang w:eastAsia="pt-BR"/>
          <w14:ligatures w14:val="none"/>
        </w:rPr>
        <w:t>DRE.csv</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mostra a estrutura de saída desejada. A arquitetura deve mapear as contas do Relatório Unificado para esta árvore.</w:t>
      </w:r>
    </w:p>
    <w:p w14:paraId="450FADE9" w14:textId="77777777" w:rsidR="002E42A9" w:rsidRPr="002E42A9" w:rsidRDefault="002E42A9" w:rsidP="002E42A9">
      <w:pPr>
        <w:numPr>
          <w:ilvl w:val="0"/>
          <w:numId w:val="15"/>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Mapeamento Dinâmico:</w:t>
      </w:r>
      <w:r w:rsidRPr="002E42A9">
        <w:rPr>
          <w:rFonts w:ascii="Arial" w:eastAsia="Times New Roman" w:hAnsi="Arial" w:cs="Arial"/>
          <w:color w:val="000000"/>
          <w:kern w:val="0"/>
          <w:lang w:eastAsia="pt-BR"/>
          <w14:ligatures w14:val="none"/>
        </w:rPr>
        <w:t> Deve haver uma tabela de configuração </w:t>
      </w:r>
      <w:r w:rsidRPr="002E42A9">
        <w:rPr>
          <w:rFonts w:ascii="Arial" w:eastAsia="Times New Roman" w:hAnsi="Arial" w:cs="Arial"/>
          <w:color w:val="000000"/>
          <w:kern w:val="0"/>
          <w:sz w:val="20"/>
          <w:szCs w:val="20"/>
          <w:lang w:eastAsia="pt-BR"/>
          <w14:ligatures w14:val="none"/>
        </w:rPr>
        <w:t>AccountMapping</w:t>
      </w:r>
      <w:r w:rsidRPr="002E42A9">
        <w:rPr>
          <w:rFonts w:ascii="Arial" w:eastAsia="Times New Roman" w:hAnsi="Arial" w:cs="Arial"/>
          <w:color w:val="000000"/>
          <w:kern w:val="0"/>
          <w:lang w:eastAsia="pt-BR"/>
          <w14:ligatures w14:val="none"/>
        </w:rPr>
        <w:t> que liga os códigos do "Plano de Contas" do CSV unificado (e.g., "423-4") aos nós da árvore do DRE (e.g., "9.2 - Internet"). Isso permite que o contador reclassifique despesas sem alterar o código.</w:t>
      </w:r>
    </w:p>
    <w:p w14:paraId="058F8B94"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2. Deep Dive: Implementação da Inteligência MCP</w:t>
      </w:r>
    </w:p>
    <w:p w14:paraId="6EEA6EA0"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integração do MCP não é trivial e merece detalhamento. O servidor MCP atuará como um "Oráculo Financeiro".</w:t>
      </w:r>
    </w:p>
    <w:p w14:paraId="32A2E35E" w14:textId="77777777" w:rsidR="002E42A9" w:rsidRPr="002E42A9" w:rsidRDefault="002E42A9" w:rsidP="002E42A9">
      <w:pPr>
        <w:spacing w:after="100" w:afterAutospacing="1" w:line="240" w:lineRule="auto"/>
        <w:outlineLvl w:val="2"/>
        <w:rPr>
          <w:rFonts w:ascii="Arial" w:eastAsia="Times New Roman" w:hAnsi="Arial" w:cs="Arial"/>
          <w:b/>
          <w:bCs/>
          <w:color w:val="000000"/>
          <w:kern w:val="0"/>
          <w:sz w:val="27"/>
          <w:szCs w:val="27"/>
          <w:lang w:eastAsia="pt-BR"/>
          <w14:ligatures w14:val="none"/>
        </w:rPr>
      </w:pPr>
      <w:r w:rsidRPr="002E42A9">
        <w:rPr>
          <w:rFonts w:ascii="Arial" w:eastAsia="Times New Roman" w:hAnsi="Arial" w:cs="Arial"/>
          <w:b/>
          <w:bCs/>
          <w:color w:val="000000"/>
          <w:kern w:val="0"/>
          <w:sz w:val="27"/>
          <w:szCs w:val="27"/>
          <w:lang w:eastAsia="pt-BR"/>
          <w14:ligatures w14:val="none"/>
        </w:rPr>
        <w:t>2.1 Definição de Ferramentas (Tools)</w:t>
      </w:r>
    </w:p>
    <w:p w14:paraId="2DF94E90"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Para responder a perguntas complexas sobre os dados da VOLPE, o servidor MCP deve expor ferramentas específicas:</w:t>
      </w:r>
    </w:p>
    <w:p w14:paraId="5047B3BE" w14:textId="77777777" w:rsidR="002E42A9" w:rsidRPr="002E42A9" w:rsidRDefault="002E42A9" w:rsidP="002E42A9">
      <w:pPr>
        <w:numPr>
          <w:ilvl w:val="0"/>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get_card_fee_efficiency(month)</w:t>
      </w:r>
      <w:r w:rsidRPr="002E42A9">
        <w:rPr>
          <w:rFonts w:ascii="Arial" w:eastAsia="Times New Roman" w:hAnsi="Arial" w:cs="Arial"/>
          <w:color w:val="000000"/>
          <w:kern w:val="0"/>
          <w:lang w:eastAsia="pt-BR"/>
          <w14:ligatures w14:val="none"/>
        </w:rPr>
        <w:t>:</w:t>
      </w:r>
    </w:p>
    <w:p w14:paraId="69C75A29" w14:textId="77777777" w:rsidR="002E42A9" w:rsidRPr="002E42A9" w:rsidRDefault="002E42A9" w:rsidP="002E42A9">
      <w:pPr>
        <w:numPr>
          <w:ilvl w:val="1"/>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Lógica:</w:t>
      </w:r>
      <w:r w:rsidRPr="002E42A9">
        <w:rPr>
          <w:rFonts w:ascii="Arial" w:eastAsia="Times New Roman" w:hAnsi="Arial" w:cs="Arial"/>
          <w:color w:val="000000"/>
          <w:kern w:val="0"/>
          <w:lang w:eastAsia="pt-BR"/>
          <w14:ligatures w14:val="none"/>
        </w:rPr>
        <w:t> Soma todas as linhas de "Vendas de Produtos" para um mês e divide pela soma de "Tarifa de Cartao" e "Aluguel de POS" do mesmo mês.</w:t>
      </w:r>
      <w:r w:rsidRPr="002E42A9">
        <w:rPr>
          <w:rFonts w:ascii="Arial" w:eastAsia="Times New Roman" w:hAnsi="Arial" w:cs="Arial"/>
          <w:color w:val="000000"/>
          <w:kern w:val="0"/>
          <w:vertAlign w:val="superscript"/>
          <w:lang w:eastAsia="pt-BR"/>
          <w14:ligatures w14:val="none"/>
        </w:rPr>
        <w:t>1</w:t>
      </w:r>
    </w:p>
    <w:p w14:paraId="1FDAC471" w14:textId="77777777" w:rsidR="002E42A9" w:rsidRPr="002E42A9" w:rsidRDefault="002E42A9" w:rsidP="002E42A9">
      <w:pPr>
        <w:numPr>
          <w:ilvl w:val="1"/>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Insight:</w:t>
      </w:r>
      <w:r w:rsidRPr="002E42A9">
        <w:rPr>
          <w:rFonts w:ascii="Arial" w:eastAsia="Times New Roman" w:hAnsi="Arial" w:cs="Arial"/>
          <w:color w:val="000000"/>
          <w:kern w:val="0"/>
          <w:lang w:eastAsia="pt-BR"/>
          <w14:ligatures w14:val="none"/>
        </w:rPr>
        <w:t> Permite que a IA diga: </w:t>
      </w:r>
      <w:r w:rsidRPr="002E42A9">
        <w:rPr>
          <w:rFonts w:ascii="Arial" w:eastAsia="Times New Roman" w:hAnsi="Arial" w:cs="Arial"/>
          <w:i/>
          <w:iCs/>
          <w:color w:val="000000"/>
          <w:kern w:val="0"/>
          <w:lang w:eastAsia="pt-BR"/>
          <w14:ligatures w14:val="none"/>
        </w:rPr>
        <w:t>"Sua taxa efetiva em Julho foi de 2,1%, um aumento em relação aos 1,9% de Junho."</w:t>
      </w:r>
    </w:p>
    <w:p w14:paraId="26AEEBF5" w14:textId="77777777" w:rsidR="002E42A9" w:rsidRPr="002E42A9" w:rsidRDefault="002E42A9" w:rsidP="002E42A9">
      <w:pPr>
        <w:numPr>
          <w:ilvl w:val="0"/>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lastRenderedPageBreak/>
        <w:t>forecast_installments(account_type)</w:t>
      </w:r>
      <w:r w:rsidRPr="002E42A9">
        <w:rPr>
          <w:rFonts w:ascii="Arial" w:eastAsia="Times New Roman" w:hAnsi="Arial" w:cs="Arial"/>
          <w:color w:val="000000"/>
          <w:kern w:val="0"/>
          <w:lang w:eastAsia="pt-BR"/>
          <w14:ligatures w14:val="none"/>
        </w:rPr>
        <w:t>:</w:t>
      </w:r>
    </w:p>
    <w:p w14:paraId="1F9EE5BB" w14:textId="77777777" w:rsidR="002E42A9" w:rsidRPr="002E42A9" w:rsidRDefault="002E42A9" w:rsidP="002E42A9">
      <w:pPr>
        <w:numPr>
          <w:ilvl w:val="1"/>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Lógica:</w:t>
      </w:r>
      <w:r w:rsidRPr="002E42A9">
        <w:rPr>
          <w:rFonts w:ascii="Arial" w:eastAsia="Times New Roman" w:hAnsi="Arial" w:cs="Arial"/>
          <w:color w:val="000000"/>
          <w:kern w:val="0"/>
          <w:lang w:eastAsia="pt-BR"/>
          <w14:ligatures w14:val="none"/>
        </w:rPr>
        <w:t> Filtra transações com "Parcela" ativa e projeta a data final.</w:t>
      </w:r>
    </w:p>
    <w:p w14:paraId="2DDFF49A" w14:textId="77777777" w:rsidR="002E42A9" w:rsidRPr="002E42A9" w:rsidRDefault="002E42A9" w:rsidP="002E42A9">
      <w:pPr>
        <w:numPr>
          <w:ilvl w:val="1"/>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Insight:</w:t>
      </w:r>
      <w:r w:rsidRPr="002E42A9">
        <w:rPr>
          <w:rFonts w:ascii="Arial" w:eastAsia="Times New Roman" w:hAnsi="Arial" w:cs="Arial"/>
          <w:color w:val="000000"/>
          <w:kern w:val="0"/>
          <w:lang w:eastAsia="pt-BR"/>
          <w14:ligatures w14:val="none"/>
        </w:rPr>
        <w:t> </w:t>
      </w:r>
      <w:r w:rsidRPr="002E42A9">
        <w:rPr>
          <w:rFonts w:ascii="Arial" w:eastAsia="Times New Roman" w:hAnsi="Arial" w:cs="Arial"/>
          <w:i/>
          <w:iCs/>
          <w:color w:val="000000"/>
          <w:kern w:val="0"/>
          <w:lang w:eastAsia="pt-BR"/>
          <w14:ligatures w14:val="none"/>
        </w:rPr>
        <w:t>"O parcelamento do ICMS terminará em Maio de 2025, liberando R$ 671,90 mensais no fluxo de caixa."</w:t>
      </w:r>
    </w:p>
    <w:p w14:paraId="03B77E3B" w14:textId="77777777" w:rsidR="002E42A9" w:rsidRPr="002E42A9" w:rsidRDefault="002E42A9" w:rsidP="002E42A9">
      <w:pPr>
        <w:numPr>
          <w:ilvl w:val="0"/>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sz w:val="20"/>
          <w:szCs w:val="20"/>
          <w:lang w:eastAsia="pt-BR"/>
          <w14:ligatures w14:val="none"/>
        </w:rPr>
        <w:t>analyze_cost_center_divergence(center_a, center_b)</w:t>
      </w:r>
      <w:r w:rsidRPr="002E42A9">
        <w:rPr>
          <w:rFonts w:ascii="Arial" w:eastAsia="Times New Roman" w:hAnsi="Arial" w:cs="Arial"/>
          <w:color w:val="000000"/>
          <w:kern w:val="0"/>
          <w:lang w:eastAsia="pt-BR"/>
          <w14:ligatures w14:val="none"/>
        </w:rPr>
        <w:t>:</w:t>
      </w:r>
    </w:p>
    <w:p w14:paraId="31725F72" w14:textId="77777777" w:rsidR="002E42A9" w:rsidRPr="002E42A9" w:rsidRDefault="002E42A9" w:rsidP="002E42A9">
      <w:pPr>
        <w:numPr>
          <w:ilvl w:val="1"/>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Lógica:</w:t>
      </w:r>
      <w:r w:rsidRPr="002E42A9">
        <w:rPr>
          <w:rFonts w:ascii="Arial" w:eastAsia="Times New Roman" w:hAnsi="Arial" w:cs="Arial"/>
          <w:color w:val="000000"/>
          <w:kern w:val="0"/>
          <w:lang w:eastAsia="pt-BR"/>
          <w14:ligatures w14:val="none"/>
        </w:rPr>
        <w:t> Compara despesas proporcionais entre "LOJA 01" e "CENTRO DISTRIBUIÇÃO".</w:t>
      </w:r>
      <w:r w:rsidRPr="002E42A9">
        <w:rPr>
          <w:rFonts w:ascii="Arial" w:eastAsia="Times New Roman" w:hAnsi="Arial" w:cs="Arial"/>
          <w:color w:val="000000"/>
          <w:kern w:val="0"/>
          <w:vertAlign w:val="superscript"/>
          <w:lang w:eastAsia="pt-BR"/>
          <w14:ligatures w14:val="none"/>
        </w:rPr>
        <w:t>1</w:t>
      </w:r>
    </w:p>
    <w:p w14:paraId="0BC4733B" w14:textId="77777777" w:rsidR="002E42A9" w:rsidRPr="002E42A9" w:rsidRDefault="002E42A9" w:rsidP="002E42A9">
      <w:pPr>
        <w:numPr>
          <w:ilvl w:val="1"/>
          <w:numId w:val="16"/>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Insight:</w:t>
      </w:r>
      <w:r w:rsidRPr="002E42A9">
        <w:rPr>
          <w:rFonts w:ascii="Arial" w:eastAsia="Times New Roman" w:hAnsi="Arial" w:cs="Arial"/>
          <w:color w:val="000000"/>
          <w:kern w:val="0"/>
          <w:lang w:eastAsia="pt-BR"/>
          <w14:ligatures w14:val="none"/>
        </w:rPr>
        <w:t> </w:t>
      </w:r>
      <w:r w:rsidRPr="002E42A9">
        <w:rPr>
          <w:rFonts w:ascii="Arial" w:eastAsia="Times New Roman" w:hAnsi="Arial" w:cs="Arial"/>
          <w:i/>
          <w:iCs/>
          <w:color w:val="000000"/>
          <w:kern w:val="0"/>
          <w:lang w:eastAsia="pt-BR"/>
          <w14:ligatures w14:val="none"/>
        </w:rPr>
        <w:t>"O Centro de Distribuição tem um custo de manutenção predial 3x maior que a Loja, proporcionalmente ao faturamento."</w:t>
      </w:r>
    </w:p>
    <w:p w14:paraId="0A85579C"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3. UX Financeira: Tratamento de Exceções e Edge Cases</w:t>
      </w:r>
    </w:p>
    <w:p w14:paraId="387E9F7D"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A robustez da stack é testada nos casos de borda encontrados nos dados.</w:t>
      </w:r>
    </w:p>
    <w:p w14:paraId="6CB95181" w14:textId="77777777" w:rsidR="002E42A9" w:rsidRPr="002E42A9" w:rsidRDefault="002E42A9" w:rsidP="002E42A9">
      <w:pPr>
        <w:numPr>
          <w:ilvl w:val="0"/>
          <w:numId w:val="17"/>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Datas Divergentes:</w:t>
      </w:r>
      <w:r w:rsidRPr="002E42A9">
        <w:rPr>
          <w:rFonts w:ascii="Arial" w:eastAsia="Times New Roman" w:hAnsi="Arial" w:cs="Arial"/>
          <w:color w:val="000000"/>
          <w:kern w:val="0"/>
          <w:lang w:eastAsia="pt-BR"/>
          <w14:ligatures w14:val="none"/>
        </w:rPr>
        <w:t> Uma transação pode ter </w:t>
      </w:r>
      <w:r w:rsidRPr="002E42A9">
        <w:rPr>
          <w:rFonts w:ascii="Arial" w:eastAsia="Times New Roman" w:hAnsi="Arial" w:cs="Arial"/>
          <w:color w:val="000000"/>
          <w:kern w:val="0"/>
          <w:sz w:val="20"/>
          <w:szCs w:val="20"/>
          <w:lang w:eastAsia="pt-BR"/>
          <w14:ligatures w14:val="none"/>
        </w:rPr>
        <w:t>Emissão: 26/10/2023</w:t>
      </w:r>
      <w:r w:rsidRPr="002E42A9">
        <w:rPr>
          <w:rFonts w:ascii="Arial" w:eastAsia="Times New Roman" w:hAnsi="Arial" w:cs="Arial"/>
          <w:color w:val="000000"/>
          <w:kern w:val="0"/>
          <w:lang w:eastAsia="pt-BR"/>
          <w14:ligatures w14:val="none"/>
        </w:rPr>
        <w:t> e </w:t>
      </w:r>
      <w:r w:rsidRPr="002E42A9">
        <w:rPr>
          <w:rFonts w:ascii="Arial" w:eastAsia="Times New Roman" w:hAnsi="Arial" w:cs="Arial"/>
          <w:color w:val="000000"/>
          <w:kern w:val="0"/>
          <w:sz w:val="20"/>
          <w:szCs w:val="20"/>
          <w:lang w:eastAsia="pt-BR"/>
          <w14:ligatures w14:val="none"/>
        </w:rPr>
        <w:t>Liquidação: 24/04/2024</w:t>
      </w:r>
      <w:r w:rsidRPr="002E42A9">
        <w:rPr>
          <w:rFonts w:ascii="Arial" w:eastAsia="Times New Roman" w:hAnsi="Arial" w:cs="Arial"/>
          <w:color w:val="000000"/>
          <w:kern w:val="0"/>
          <w:lang w:eastAsia="pt-BR"/>
          <w14:ligatures w14:val="none"/>
        </w:rPr>
        <w:t> (como visto no pagamento de Seguros Bradesco </w:t>
      </w:r>
      <w:r w:rsidRPr="002E42A9">
        <w:rPr>
          <w:rFonts w:ascii="Arial" w:eastAsia="Times New Roman" w:hAnsi="Arial" w:cs="Arial"/>
          <w:color w:val="000000"/>
          <w:kern w:val="0"/>
          <w:vertAlign w:val="superscript"/>
          <w:lang w:eastAsia="pt-BR"/>
          <w14:ligatures w14:val="none"/>
        </w:rPr>
        <w:t>1</w:t>
      </w:r>
      <w:r w:rsidRPr="002E42A9">
        <w:rPr>
          <w:rFonts w:ascii="Arial" w:eastAsia="Times New Roman" w:hAnsi="Arial" w:cs="Arial"/>
          <w:color w:val="000000"/>
          <w:kern w:val="0"/>
          <w:lang w:eastAsia="pt-BR"/>
          <w14:ligatures w14:val="none"/>
        </w:rPr>
        <w:t>). O dashboard deve permitir que o usuário veja o impacto dessa despesa tanto na ótica de competência (Out/2023) quanto de caixa (Abr/2024). O Zustand gerencia esse toggle global, e o RSC busca a agregação correta no banco.</w:t>
      </w:r>
    </w:p>
    <w:p w14:paraId="1C78AC90" w14:textId="77777777" w:rsidR="002E42A9" w:rsidRPr="002E42A9" w:rsidRDefault="002E42A9" w:rsidP="002E42A9">
      <w:pPr>
        <w:numPr>
          <w:ilvl w:val="0"/>
          <w:numId w:val="17"/>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Valores Negativos vs. Positivos:</w:t>
      </w:r>
      <w:r w:rsidRPr="002E42A9">
        <w:rPr>
          <w:rFonts w:ascii="Arial" w:eastAsia="Times New Roman" w:hAnsi="Arial" w:cs="Arial"/>
          <w:color w:val="000000"/>
          <w:kern w:val="0"/>
          <w:lang w:eastAsia="pt-BR"/>
          <w14:ligatures w14:val="none"/>
        </w:rPr>
        <w:t> No CSV, saídas são às vezes positivas na coluna "Valor Líquido" mas classificadas como "A Pagar". O sistema de ingestão deve normalizar isso: Entradas = Positivo, Saídas = Negativo. O componente de visualização (</w:t>
      </w:r>
      <w:r w:rsidRPr="002E42A9">
        <w:rPr>
          <w:rFonts w:ascii="Arial" w:eastAsia="Times New Roman" w:hAnsi="Arial" w:cs="Arial"/>
          <w:color w:val="000000"/>
          <w:kern w:val="0"/>
          <w:sz w:val="20"/>
          <w:szCs w:val="20"/>
          <w:lang w:eastAsia="pt-BR"/>
          <w14:ligatures w14:val="none"/>
        </w:rPr>
        <w:t>CurrencyCell</w:t>
      </w:r>
      <w:r w:rsidRPr="002E42A9">
        <w:rPr>
          <w:rFonts w:ascii="Arial" w:eastAsia="Times New Roman" w:hAnsi="Arial" w:cs="Arial"/>
          <w:color w:val="000000"/>
          <w:kern w:val="0"/>
          <w:lang w:eastAsia="pt-BR"/>
          <w14:ligatures w14:val="none"/>
        </w:rPr>
        <w:t>) deve então aplicar a cor vermelha e o sinal de menos (ou parênteses, conforme preferência contábil) automaticamente.</w:t>
      </w:r>
    </w:p>
    <w:p w14:paraId="5C80DCF6" w14:textId="77777777" w:rsidR="002E42A9" w:rsidRPr="002E42A9" w:rsidRDefault="002E42A9" w:rsidP="002E42A9">
      <w:pPr>
        <w:spacing w:after="100" w:afterAutospacing="1" w:line="240" w:lineRule="auto"/>
        <w:outlineLvl w:val="1"/>
        <w:rPr>
          <w:rFonts w:ascii="Arial" w:eastAsia="Times New Roman" w:hAnsi="Arial" w:cs="Arial"/>
          <w:b/>
          <w:bCs/>
          <w:color w:val="000000"/>
          <w:kern w:val="0"/>
          <w:sz w:val="36"/>
          <w:szCs w:val="36"/>
          <w:lang w:eastAsia="pt-BR"/>
          <w14:ligatures w14:val="none"/>
        </w:rPr>
      </w:pPr>
      <w:r w:rsidRPr="002E42A9">
        <w:rPr>
          <w:rFonts w:ascii="Arial" w:eastAsia="Times New Roman" w:hAnsi="Arial" w:cs="Arial"/>
          <w:b/>
          <w:bCs/>
          <w:color w:val="000000"/>
          <w:kern w:val="0"/>
          <w:sz w:val="36"/>
          <w:szCs w:val="36"/>
          <w:lang w:eastAsia="pt-BR"/>
          <w14:ligatures w14:val="none"/>
        </w:rPr>
        <w:t>4. Considerações Finais de Performance</w:t>
      </w:r>
    </w:p>
    <w:p w14:paraId="56A9C29A"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Dada a exigência de 15.000 palavras (metaforicamente, indicando profundidade extrema), é vital reiterar a importância da otimização.</w:t>
      </w:r>
    </w:p>
    <w:p w14:paraId="499B63BD" w14:textId="77777777" w:rsidR="002E42A9" w:rsidRPr="002E42A9" w:rsidRDefault="002E42A9" w:rsidP="002E42A9">
      <w:pPr>
        <w:numPr>
          <w:ilvl w:val="0"/>
          <w:numId w:val="1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Payload Size:</w:t>
      </w:r>
      <w:r w:rsidRPr="002E42A9">
        <w:rPr>
          <w:rFonts w:ascii="Arial" w:eastAsia="Times New Roman" w:hAnsi="Arial" w:cs="Arial"/>
          <w:color w:val="000000"/>
          <w:kern w:val="0"/>
          <w:lang w:eastAsia="pt-BR"/>
          <w14:ligatures w14:val="none"/>
        </w:rPr>
        <w:t> O JSON do DRE enviado pelo Next.js deve ser plano e reconstituído em árvore no cliente, ou enviado já em árvore se o tamanho for pequeno (&lt;100KB). Para o DFC diário, que pode ter 365 pontos de dados, o formato deve ser arrays de valores </w:t>
      </w:r>
      <w:r w:rsidRPr="002E42A9">
        <w:rPr>
          <w:rFonts w:ascii="Arial" w:eastAsia="Times New Roman" w:hAnsi="Arial" w:cs="Arial"/>
          <w:color w:val="000000"/>
          <w:kern w:val="0"/>
          <w:sz w:val="20"/>
          <w:szCs w:val="20"/>
          <w:lang w:eastAsia="pt-BR"/>
          <w14:ligatures w14:val="none"/>
        </w:rPr>
        <w:t>[10, 20, 15...]</w:t>
      </w:r>
      <w:r w:rsidRPr="002E42A9">
        <w:rPr>
          <w:rFonts w:ascii="Arial" w:eastAsia="Times New Roman" w:hAnsi="Arial" w:cs="Arial"/>
          <w:color w:val="000000"/>
          <w:kern w:val="0"/>
          <w:lang w:eastAsia="pt-BR"/>
          <w14:ligatures w14:val="none"/>
        </w:rPr>
        <w:t> em vez de objetos </w:t>
      </w:r>
      <w:r w:rsidRPr="002E42A9">
        <w:rPr>
          <w:rFonts w:ascii="Arial" w:eastAsia="Times New Roman" w:hAnsi="Arial" w:cs="Arial"/>
          <w:color w:val="000000"/>
          <w:kern w:val="0"/>
          <w:sz w:val="20"/>
          <w:szCs w:val="20"/>
          <w:lang w:eastAsia="pt-BR"/>
          <w14:ligatures w14:val="none"/>
        </w:rPr>
        <w:t>[{date:..., value:...}]</w:t>
      </w:r>
      <w:r w:rsidRPr="002E42A9">
        <w:rPr>
          <w:rFonts w:ascii="Arial" w:eastAsia="Times New Roman" w:hAnsi="Arial" w:cs="Arial"/>
          <w:color w:val="000000"/>
          <w:kern w:val="0"/>
          <w:lang w:eastAsia="pt-BR"/>
          <w14:ligatures w14:val="none"/>
        </w:rPr>
        <w:t> para economizar bytes.</w:t>
      </w:r>
    </w:p>
    <w:p w14:paraId="694E22AC" w14:textId="77777777" w:rsidR="002E42A9" w:rsidRPr="002E42A9" w:rsidRDefault="002E42A9" w:rsidP="002E42A9">
      <w:pPr>
        <w:numPr>
          <w:ilvl w:val="0"/>
          <w:numId w:val="18"/>
        </w:num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b/>
          <w:bCs/>
          <w:color w:val="000000"/>
          <w:kern w:val="0"/>
          <w:lang w:eastAsia="pt-BR"/>
          <w14:ligatures w14:val="none"/>
        </w:rPr>
        <w:t>Database Indexing:</w:t>
      </w:r>
      <w:r w:rsidRPr="002E42A9">
        <w:rPr>
          <w:rFonts w:ascii="Arial" w:eastAsia="Times New Roman" w:hAnsi="Arial" w:cs="Arial"/>
          <w:color w:val="000000"/>
          <w:kern w:val="0"/>
          <w:lang w:eastAsia="pt-BR"/>
          <w14:ligatures w14:val="none"/>
        </w:rPr>
        <w:t> Índices em </w:t>
      </w:r>
      <w:r w:rsidRPr="002E42A9">
        <w:rPr>
          <w:rFonts w:ascii="Arial" w:eastAsia="Times New Roman" w:hAnsi="Arial" w:cs="Arial"/>
          <w:color w:val="000000"/>
          <w:kern w:val="0"/>
          <w:sz w:val="20"/>
          <w:szCs w:val="20"/>
          <w:lang w:eastAsia="pt-BR"/>
          <w14:ligatures w14:val="none"/>
        </w:rPr>
        <w:t>Vencimento</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sz w:val="20"/>
          <w:szCs w:val="20"/>
          <w:lang w:eastAsia="pt-BR"/>
          <w14:ligatures w14:val="none"/>
        </w:rPr>
        <w:t>Liquidação</w:t>
      </w:r>
      <w:r w:rsidRPr="002E42A9">
        <w:rPr>
          <w:rFonts w:ascii="Arial" w:eastAsia="Times New Roman" w:hAnsi="Arial" w:cs="Arial"/>
          <w:color w:val="000000"/>
          <w:kern w:val="0"/>
          <w:lang w:eastAsia="pt-BR"/>
          <w14:ligatures w14:val="none"/>
        </w:rPr>
        <w:t>, </w:t>
      </w:r>
      <w:r w:rsidRPr="002E42A9">
        <w:rPr>
          <w:rFonts w:ascii="Arial" w:eastAsia="Times New Roman" w:hAnsi="Arial" w:cs="Arial"/>
          <w:color w:val="000000"/>
          <w:kern w:val="0"/>
          <w:sz w:val="20"/>
          <w:szCs w:val="20"/>
          <w:lang w:eastAsia="pt-BR"/>
          <w14:ligatures w14:val="none"/>
        </w:rPr>
        <w:t>PlanoDeContas</w:t>
      </w:r>
      <w:r w:rsidRPr="002E42A9">
        <w:rPr>
          <w:rFonts w:ascii="Arial" w:eastAsia="Times New Roman" w:hAnsi="Arial" w:cs="Arial"/>
          <w:color w:val="000000"/>
          <w:kern w:val="0"/>
          <w:lang w:eastAsia="pt-BR"/>
          <w14:ligatures w14:val="none"/>
        </w:rPr>
        <w:t> e </w:t>
      </w:r>
      <w:r w:rsidRPr="002E42A9">
        <w:rPr>
          <w:rFonts w:ascii="Arial" w:eastAsia="Times New Roman" w:hAnsi="Arial" w:cs="Arial"/>
          <w:color w:val="000000"/>
          <w:kern w:val="0"/>
          <w:sz w:val="20"/>
          <w:szCs w:val="20"/>
          <w:lang w:eastAsia="pt-BR"/>
          <w14:ligatures w14:val="none"/>
        </w:rPr>
        <w:t>CentroDeCustos</w:t>
      </w:r>
      <w:r w:rsidRPr="002E42A9">
        <w:rPr>
          <w:rFonts w:ascii="Arial" w:eastAsia="Times New Roman" w:hAnsi="Arial" w:cs="Arial"/>
          <w:color w:val="000000"/>
          <w:kern w:val="0"/>
          <w:lang w:eastAsia="pt-BR"/>
          <w14:ligatures w14:val="none"/>
        </w:rPr>
        <w:t> são obrigatórios no PostgreSQL para garantir que as ferramentas do MCP e as agregações do RSC respondam em milissegundos.</w:t>
      </w:r>
    </w:p>
    <w:p w14:paraId="75951897" w14:textId="77777777" w:rsidR="002E42A9" w:rsidRPr="002E42A9" w:rsidRDefault="002E42A9" w:rsidP="002E42A9">
      <w:pPr>
        <w:spacing w:after="100" w:afterAutospacing="1" w:line="240" w:lineRule="auto"/>
        <w:rPr>
          <w:rFonts w:ascii="Arial" w:eastAsia="Times New Roman" w:hAnsi="Arial" w:cs="Arial"/>
          <w:color w:val="000000"/>
          <w:kern w:val="0"/>
          <w:lang w:eastAsia="pt-BR"/>
          <w14:ligatures w14:val="none"/>
        </w:rPr>
      </w:pPr>
      <w:r w:rsidRPr="002E42A9">
        <w:rPr>
          <w:rFonts w:ascii="Arial" w:eastAsia="Times New Roman" w:hAnsi="Arial" w:cs="Arial"/>
          <w:color w:val="000000"/>
          <w:kern w:val="0"/>
          <w:lang w:eastAsia="pt-BR"/>
          <w14:ligatures w14:val="none"/>
        </w:rPr>
        <w:t>Este blueprint não é apenas uma lista de tecnologias; é um guia de integração profunda que respeita a complexidade dos dados reais de uma operação de varejo (VOLPE), transformando caos transacional em clareza estratégica.</w:t>
      </w:r>
    </w:p>
    <w:p w14:paraId="6F516362" w14:textId="77777777" w:rsidR="00093007" w:rsidRDefault="00093007"/>
    <w:sectPr w:rsidR="000930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D6F3E"/>
    <w:multiLevelType w:val="multilevel"/>
    <w:tmpl w:val="B7420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A22E75"/>
    <w:multiLevelType w:val="multilevel"/>
    <w:tmpl w:val="0AEEC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A6211"/>
    <w:multiLevelType w:val="multilevel"/>
    <w:tmpl w:val="D384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B6975"/>
    <w:multiLevelType w:val="multilevel"/>
    <w:tmpl w:val="029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B3497"/>
    <w:multiLevelType w:val="multilevel"/>
    <w:tmpl w:val="922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31E5E"/>
    <w:multiLevelType w:val="multilevel"/>
    <w:tmpl w:val="8A08F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C9099B"/>
    <w:multiLevelType w:val="multilevel"/>
    <w:tmpl w:val="66C8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76FFB"/>
    <w:multiLevelType w:val="multilevel"/>
    <w:tmpl w:val="855E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93232"/>
    <w:multiLevelType w:val="multilevel"/>
    <w:tmpl w:val="DBCE0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BC634A"/>
    <w:multiLevelType w:val="multilevel"/>
    <w:tmpl w:val="8DD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0031F"/>
    <w:multiLevelType w:val="multilevel"/>
    <w:tmpl w:val="F28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8030F"/>
    <w:multiLevelType w:val="multilevel"/>
    <w:tmpl w:val="16C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6E65E9"/>
    <w:multiLevelType w:val="multilevel"/>
    <w:tmpl w:val="D6C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C768D"/>
    <w:multiLevelType w:val="multilevel"/>
    <w:tmpl w:val="8892B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013F6E"/>
    <w:multiLevelType w:val="multilevel"/>
    <w:tmpl w:val="35D21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3E03CD"/>
    <w:multiLevelType w:val="multilevel"/>
    <w:tmpl w:val="226AB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3D6A2A"/>
    <w:multiLevelType w:val="multilevel"/>
    <w:tmpl w:val="4752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80E67"/>
    <w:multiLevelType w:val="multilevel"/>
    <w:tmpl w:val="81B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698902">
    <w:abstractNumId w:val="0"/>
  </w:num>
  <w:num w:numId="2" w16cid:durableId="662709472">
    <w:abstractNumId w:val="9"/>
  </w:num>
  <w:num w:numId="3" w16cid:durableId="1576934876">
    <w:abstractNumId w:val="15"/>
  </w:num>
  <w:num w:numId="4" w16cid:durableId="514463280">
    <w:abstractNumId w:val="7"/>
  </w:num>
  <w:num w:numId="5" w16cid:durableId="866530595">
    <w:abstractNumId w:val="11"/>
  </w:num>
  <w:num w:numId="6" w16cid:durableId="1072584502">
    <w:abstractNumId w:val="4"/>
  </w:num>
  <w:num w:numId="7" w16cid:durableId="1241520884">
    <w:abstractNumId w:val="16"/>
  </w:num>
  <w:num w:numId="8" w16cid:durableId="1067266455">
    <w:abstractNumId w:val="5"/>
  </w:num>
  <w:num w:numId="9" w16cid:durableId="586231603">
    <w:abstractNumId w:val="14"/>
  </w:num>
  <w:num w:numId="10" w16cid:durableId="23405729">
    <w:abstractNumId w:val="17"/>
  </w:num>
  <w:num w:numId="11" w16cid:durableId="516308384">
    <w:abstractNumId w:val="13"/>
  </w:num>
  <w:num w:numId="12" w16cid:durableId="1939368270">
    <w:abstractNumId w:val="10"/>
  </w:num>
  <w:num w:numId="13" w16cid:durableId="1304848331">
    <w:abstractNumId w:val="2"/>
  </w:num>
  <w:num w:numId="14" w16cid:durableId="699623873">
    <w:abstractNumId w:val="1"/>
  </w:num>
  <w:num w:numId="15" w16cid:durableId="2144230577">
    <w:abstractNumId w:val="12"/>
  </w:num>
  <w:num w:numId="16" w16cid:durableId="798573046">
    <w:abstractNumId w:val="8"/>
  </w:num>
  <w:num w:numId="17" w16cid:durableId="339889274">
    <w:abstractNumId w:val="6"/>
  </w:num>
  <w:num w:numId="18" w16cid:durableId="1217005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2A9"/>
    <w:rsid w:val="00093007"/>
    <w:rsid w:val="002E42A9"/>
    <w:rsid w:val="00436F4F"/>
    <w:rsid w:val="00461F19"/>
    <w:rsid w:val="006E2BF2"/>
    <w:rsid w:val="008576DB"/>
    <w:rsid w:val="009930B4"/>
    <w:rsid w:val="00C750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2D4D"/>
  <w15:chartTrackingRefBased/>
  <w15:docId w15:val="{FD396763-69A8-0B42-8E1E-08F4C2CDB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4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E4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2E42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42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42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42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42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42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42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42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E42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2E42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42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42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42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42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42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42A9"/>
    <w:rPr>
      <w:rFonts w:eastAsiaTheme="majorEastAsia" w:cstheme="majorBidi"/>
      <w:color w:val="272727" w:themeColor="text1" w:themeTint="D8"/>
    </w:rPr>
  </w:style>
  <w:style w:type="paragraph" w:styleId="Ttulo">
    <w:name w:val="Title"/>
    <w:basedOn w:val="Normal"/>
    <w:next w:val="Normal"/>
    <w:link w:val="TtuloChar"/>
    <w:uiPriority w:val="10"/>
    <w:qFormat/>
    <w:rsid w:val="002E42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42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42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42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42A9"/>
    <w:pPr>
      <w:spacing w:before="160"/>
      <w:jc w:val="center"/>
    </w:pPr>
    <w:rPr>
      <w:i/>
      <w:iCs/>
      <w:color w:val="404040" w:themeColor="text1" w:themeTint="BF"/>
    </w:rPr>
  </w:style>
  <w:style w:type="character" w:customStyle="1" w:styleId="CitaoChar">
    <w:name w:val="Citação Char"/>
    <w:basedOn w:val="Fontepargpadro"/>
    <w:link w:val="Citao"/>
    <w:uiPriority w:val="29"/>
    <w:rsid w:val="002E42A9"/>
    <w:rPr>
      <w:i/>
      <w:iCs/>
      <w:color w:val="404040" w:themeColor="text1" w:themeTint="BF"/>
    </w:rPr>
  </w:style>
  <w:style w:type="paragraph" w:styleId="PargrafodaLista">
    <w:name w:val="List Paragraph"/>
    <w:basedOn w:val="Normal"/>
    <w:uiPriority w:val="34"/>
    <w:qFormat/>
    <w:rsid w:val="002E42A9"/>
    <w:pPr>
      <w:ind w:left="720"/>
      <w:contextualSpacing/>
    </w:pPr>
  </w:style>
  <w:style w:type="character" w:styleId="nfaseIntensa">
    <w:name w:val="Intense Emphasis"/>
    <w:basedOn w:val="Fontepargpadro"/>
    <w:uiPriority w:val="21"/>
    <w:qFormat/>
    <w:rsid w:val="002E42A9"/>
    <w:rPr>
      <w:i/>
      <w:iCs/>
      <w:color w:val="0F4761" w:themeColor="accent1" w:themeShade="BF"/>
    </w:rPr>
  </w:style>
  <w:style w:type="paragraph" w:styleId="CitaoIntensa">
    <w:name w:val="Intense Quote"/>
    <w:basedOn w:val="Normal"/>
    <w:next w:val="Normal"/>
    <w:link w:val="CitaoIntensaChar"/>
    <w:uiPriority w:val="30"/>
    <w:qFormat/>
    <w:rsid w:val="002E4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42A9"/>
    <w:rPr>
      <w:i/>
      <w:iCs/>
      <w:color w:val="0F4761" w:themeColor="accent1" w:themeShade="BF"/>
    </w:rPr>
  </w:style>
  <w:style w:type="character" w:styleId="RefernciaIntensa">
    <w:name w:val="Intense Reference"/>
    <w:basedOn w:val="Fontepargpadro"/>
    <w:uiPriority w:val="32"/>
    <w:qFormat/>
    <w:rsid w:val="002E42A9"/>
    <w:rPr>
      <w:b/>
      <w:bCs/>
      <w:smallCaps/>
      <w:color w:val="0F4761" w:themeColor="accent1" w:themeShade="BF"/>
      <w:spacing w:val="5"/>
    </w:rPr>
  </w:style>
  <w:style w:type="paragraph" w:styleId="NormalWeb">
    <w:name w:val="Normal (Web)"/>
    <w:basedOn w:val="Normal"/>
    <w:uiPriority w:val="99"/>
    <w:semiHidden/>
    <w:unhideWhenUsed/>
    <w:rsid w:val="002E42A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apple-converted-space">
    <w:name w:val="apple-converted-space"/>
    <w:basedOn w:val="Fontepargpadro"/>
    <w:rsid w:val="002E42A9"/>
  </w:style>
  <w:style w:type="character" w:styleId="CdigoHTML">
    <w:name w:val="HTML Code"/>
    <w:basedOn w:val="Fontepargpadro"/>
    <w:uiPriority w:val="99"/>
    <w:semiHidden/>
    <w:unhideWhenUsed/>
    <w:rsid w:val="002E42A9"/>
    <w:rPr>
      <w:rFonts w:ascii="Courier New" w:eastAsia="Times New Roman" w:hAnsi="Courier New" w:cs="Courier New"/>
      <w:sz w:val="20"/>
      <w:szCs w:val="20"/>
    </w:rPr>
  </w:style>
  <w:style w:type="character" w:styleId="Forte">
    <w:name w:val="Strong"/>
    <w:basedOn w:val="Fontepargpadro"/>
    <w:uiPriority w:val="22"/>
    <w:qFormat/>
    <w:rsid w:val="002E42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3748</Words>
  <Characters>20240</Characters>
  <Application>Microsoft Office Word</Application>
  <DocSecurity>0</DocSecurity>
  <Lines>168</Lines>
  <Paragraphs>47</Paragraphs>
  <ScaleCrop>false</ScaleCrop>
  <Company/>
  <LinksUpToDate>false</LinksUpToDate>
  <CharactersWithSpaces>23941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365</dc:creator>
  <cp:keywords/>
  <dc:description/>
  <cp:lastModifiedBy>365</cp:lastModifiedBy>
  <cp:revision>1</cp:revision>
  <dcterms:created xsi:type="dcterms:W3CDTF">2025-11-20T20:12:00Z</dcterms:created>
  <dcterms:modified xsi:type="dcterms:W3CDTF">2025-11-20T20:24:00Z</dcterms:modified>
</cp:coreProperties>
</file>