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1B2A4A"/>
          <w:sz w:val="48"/>
          <w:szCs w:val="48"/>
        </w:rPr>
        <w:t xml:space="preserve">ALCHEMAIZE, INC.</w:t>
      </w:r>
    </w:p>
    <w:p>
      <w:pPr>
        <w:pBdr>
          <w:bottom w:val="single" w:color="0E7C7B" w:sz="6" w:space="8"/>
        </w:pBdr>
        <w:spacing w:after="200"/>
        <w:jc w:val="center"/>
      </w:pPr>
    </w:p>
    <w:p>
      <w:pPr>
        <w:spacing w:after="120" w:before="200"/>
        <w:jc w:val="center"/>
      </w:pPr>
      <w:r>
        <w:rPr>
          <w:rFonts w:ascii="Calibri" w:cs="Calibri" w:eastAsia="Calibri" w:hAnsi="Calibri"/>
          <w:b/>
          <w:bCs/>
          <w:color w:val="0E7C7B"/>
          <w:sz w:val="36"/>
          <w:szCs w:val="36"/>
        </w:rPr>
        <w:t xml:space="preserve">Proprietary Methodology License</w:t>
      </w:r>
    </w:p>
    <w:p>
      <w:pPr>
        <w:spacing w:after="200"/>
        <w:jc w:val="center"/>
      </w:pPr>
      <w:r>
        <w:rPr>
          <w:rFonts w:ascii="Calibri" w:cs="Calibri" w:eastAsia="Calibri" w:hAnsi="Calibri"/>
          <w:color w:val="475569"/>
          <w:sz w:val="28"/>
          <w:szCs w:val="28"/>
        </w:rPr>
        <w:t xml:space="preserve">CID/ELCID Framework and Methodology</w:t>
      </w:r>
    </w:p>
    <w:p>
      <w:pPr>
        <w:spacing w:after="120"/>
        <w:jc w:val="center"/>
      </w:pPr>
      <w:r>
        <w:rPr>
          <w:rFonts w:ascii="Calibri" w:cs="Calibri" w:eastAsia="Calibri" w:hAnsi="Calibri"/>
          <w:i/>
          <w:iCs/>
          <w:color w:val="475569"/>
          <w:sz w:val="22"/>
          <w:szCs w:val="22"/>
        </w:rPr>
        <w:t xml:space="preserve">Continuous Intent Delivery / Enterprise Layer for Continuous Intent Delivery</w:t>
      </w:r>
    </w:p>
    <w:p>
      <w:pPr>
        <w:spacing w:before="600"/>
      </w:pPr>
    </w:p>
    <w:p>
      <w:pPr>
        <w:spacing w:after="80"/>
        <w:jc w:val="center"/>
      </w:pPr>
      <w:r>
        <w:rPr>
          <w:rFonts w:ascii="Calibri" w:cs="Calibri" w:eastAsia="Calibri" w:hAnsi="Calibri"/>
          <w:b/>
          <w:bCs/>
          <w:color w:val="1B2A4A"/>
          <w:sz w:val="24"/>
          <w:szCs w:val="24"/>
        </w:rPr>
        <w:t xml:space="preserve">Copyright © 2026 Alchemaize, Inc.</w:t>
      </w:r>
    </w:p>
    <w:p>
      <w:pPr>
        <w:spacing w:after="80"/>
        <w:jc w:val="center"/>
      </w:pPr>
      <w:r>
        <w:rPr>
          <w:rFonts w:ascii="Calibri" w:cs="Calibri" w:eastAsia="Calibri" w:hAnsi="Calibri"/>
          <w:color w:val="475569"/>
          <w:sz w:val="22"/>
          <w:szCs w:val="22"/>
        </w:rPr>
        <w:t xml:space="preserve">College Station, Texas</w:t>
      </w:r>
    </w:p>
    <w:p>
      <w:pPr>
        <w:spacing w:after="80"/>
        <w:jc w:val="center"/>
      </w:pPr>
      <w:r>
        <w:rPr>
          <w:rFonts w:ascii="Calibri" w:cs="Calibri" w:eastAsia="Calibri" w:hAnsi="Calibri"/>
          <w:b/>
          <w:bCs/>
          <w:color w:val="1B2A4A"/>
          <w:sz w:val="22"/>
          <w:szCs w:val="22"/>
        </w:rPr>
        <w:t xml:space="preserve">All Rights Reserved</w:t>
      </w:r>
    </w:p>
    <w:p>
      <w:pPr>
        <w:spacing w:before="800"/>
      </w:pPr>
    </w:p>
    <w:p>
      <w:pPr>
        <w:jc w:val="center"/>
      </w:pPr>
      <w:r>
        <w:rPr>
          <w:rFonts w:ascii="Calibri" w:cs="Calibri" w:eastAsia="Calibri" w:hAnsi="Calibri"/>
          <w:color w:val="0E7C7B"/>
          <w:sz w:val="20"/>
          <w:szCs w:val="20"/>
        </w:rPr>
        <w:t xml:space="preserve">Version 1.0 — Effective Date: April 2026</w:t>
      </w:r>
    </w:p>
    <w:p>
      <w:r>
        <w:br w:type="page"/>
      </w:r>
    </w:p>
    <w:p>
      <w:pPr>
        <w:pStyle w:val="Heading1"/>
      </w:pPr>
      <w:r>
        <w:rPr>
          <w:rFonts w:ascii="Calibri" w:cs="Calibri" w:eastAsia="Calibri" w:hAnsi="Calibri"/>
        </w:rPr>
        <w:t xml:space="preserve">Proprietary Methodology License Agreement</w:t>
      </w:r>
    </w:p>
    <w:p>
      <w:pPr>
        <w:pBdr>
          <w:bottom w:val="single" w:color="0E7C7B" w:sz="4" w:space="1"/>
        </w:pBdr>
        <w:spacing w:after="200" w:before="200"/>
      </w:pPr>
    </w:p>
    <w:p>
      <w:pPr>
        <w:spacing w:after="200"/>
      </w:pPr>
      <w:r>
        <w:rPr>
          <w:rFonts w:ascii="Calibri" w:cs="Calibri" w:eastAsia="Calibri" w:hAnsi="Calibri"/>
          <w:b w:val="false"/>
          <w:bCs w:val="false"/>
          <w:i w:val="false"/>
          <w:iCs w:val="false"/>
          <w:color w:val="475569"/>
          <w:sz w:val="22"/>
          <w:szCs w:val="22"/>
        </w:rPr>
        <w:t xml:space="preserve">This Proprietary Methodology License Agreement (the "Agreement") is entered into by and between Alchemaize, Inc., a Texas corporation with its principal place of business in College Station, Texas ("Alchemaize," "Licensor," or "Company"), and any person or entity that accesses, references, or uses any portion of the Licensed Materials defined below ("Licensee," "You," or "Your").</w:t>
      </w:r>
    </w:p>
    <w:p>
      <w:pPr>
        <w:spacing w:after="200"/>
      </w:pPr>
      <w:r>
        <w:rPr>
          <w:rFonts w:ascii="Calibri" w:cs="Calibri" w:eastAsia="Calibri" w:hAnsi="Calibri"/>
          <w:b w:val="false"/>
          <w:bCs w:val="false"/>
          <w:i w:val="false"/>
          <w:iCs w:val="false"/>
          <w:color w:val="475569"/>
          <w:sz w:val="22"/>
          <w:szCs w:val="22"/>
        </w:rPr>
        <w:t xml:space="preserve">By accessing, reading, referencing, citing, implementing, or otherwise using any portion of the Licensed Materials, You acknowledge that You have read, understood, and agree to be bound by the terms and conditions of this Agreement.</w:t>
      </w:r>
    </w:p>
    <w:p>
      <w:pPr>
        <w:pStyle w:val="Heading2"/>
      </w:pPr>
      <w:r>
        <w:rPr>
          <w:rFonts w:ascii="Calibri" w:cs="Calibri" w:eastAsia="Calibri" w:hAnsi="Calibri"/>
        </w:rPr>
        <w:t xml:space="preserve">1. Definitions</w:t>
      </w:r>
    </w:p>
    <w:p>
      <w:pPr>
        <w:spacing w:after="100"/>
        <w:ind w:left="720"/>
      </w:pPr>
      <w:r>
        <w:rPr>
          <w:rFonts w:ascii="Calibri" w:cs="Calibri" w:eastAsia="Calibri" w:hAnsi="Calibri"/>
          <w:b/>
          <w:bCs/>
          <w:color w:val="1B2A4A"/>
          <w:sz w:val="22"/>
          <w:szCs w:val="22"/>
        </w:rPr>
        <w:t xml:space="preserve">1.1 “Licensed Materials” </w:t>
      </w:r>
      <w:r>
        <w:rPr>
          <w:rFonts w:ascii="Calibri" w:cs="Calibri" w:eastAsia="Calibri" w:hAnsi="Calibri"/>
          <w:color w:val="475569"/>
          <w:sz w:val="22"/>
          <w:szCs w:val="22"/>
        </w:rPr>
        <w:t xml:space="preserve">means, collectively and individually, the CID/ELCID methodology, framework, and all associated intellectual property, including but not limited to: the CID (Continuous Intent Delivery) team-level practice; the ELCID (Enterprise Layer for Continuous Intent Delivery) governance framework; the Catalyst commercial enablement offering; all written documentation, reference guides, practice guides, white papers, and specifications describing the methodology; all defined processes, workflows, lifecycle models, and adaptive workflow engines; all defined roles, including but not limited to Intent Engineer, AI Orchestrator, Verification Owner, Intent Portfolio Lead, Stream Architect, and Verification Officer; all defined artifacts, including but not limited to the Verifiable Outcome Slice (VOS), VOS Repository, Verification Harness, Loop Dashboard, Portfolio of Intents, and Acceptance Contract; all defined ceremonies, metrics, funding models, compliance extensions, and anti-pattern taxonomies; all terminology, nomenclature, glossary terms, and naming conventions created by Alchemaize in connection with the methodology; and all derivative, supplementary, and successor works produced by Alchemaize.</w:t>
      </w:r>
    </w:p>
    <w:p>
      <w:pPr>
        <w:spacing w:after="100"/>
        <w:ind w:left="720"/>
      </w:pPr>
      <w:r>
        <w:rPr>
          <w:rFonts w:ascii="Calibri" w:cs="Calibri" w:eastAsia="Calibri" w:hAnsi="Calibri"/>
          <w:b/>
          <w:bCs/>
          <w:color w:val="1B2A4A"/>
          <w:sz w:val="22"/>
          <w:szCs w:val="22"/>
        </w:rPr>
        <w:t xml:space="preserve">1.2 “Framework IP” </w:t>
      </w:r>
      <w:r>
        <w:rPr>
          <w:rFonts w:ascii="Calibri" w:cs="Calibri" w:eastAsia="Calibri" w:hAnsi="Calibri"/>
          <w:color w:val="475569"/>
          <w:sz w:val="22"/>
          <w:szCs w:val="22"/>
        </w:rPr>
        <w:t xml:space="preserve">means the structural design, organizational architecture, process logic, role definitions, artifact specifications, metric definitions, workflow sequences, and conceptual models that constitute the CID/ELCID methodology, whether expressed in text, diagrams, tables, code, or any other medium.</w:t>
      </w:r>
    </w:p>
    <w:p>
      <w:pPr>
        <w:spacing w:after="100"/>
        <w:ind w:left="720"/>
      </w:pPr>
      <w:r>
        <w:rPr>
          <w:rFonts w:ascii="Calibri" w:cs="Calibri" w:eastAsia="Calibri" w:hAnsi="Calibri"/>
          <w:b/>
          <w:bCs/>
          <w:color w:val="1B2A4A"/>
          <w:sz w:val="22"/>
          <w:szCs w:val="22"/>
        </w:rPr>
        <w:t xml:space="preserve">1.3 “Implementation” </w:t>
      </w:r>
      <w:r>
        <w:rPr>
          <w:rFonts w:ascii="Calibri" w:cs="Calibri" w:eastAsia="Calibri" w:hAnsi="Calibri"/>
          <w:color w:val="475569"/>
          <w:sz w:val="22"/>
          <w:szCs w:val="22"/>
        </w:rPr>
        <w:t xml:space="preserve">means any act of adopting, deploying, configuring, teaching, consulting on, or operationalizing any element of the Licensed Materials within an organization, whether for internal use or on behalf of a third party.</w:t>
      </w:r>
    </w:p>
    <w:p>
      <w:pPr>
        <w:spacing w:after="100"/>
        <w:ind w:left="720"/>
      </w:pPr>
      <w:r>
        <w:rPr>
          <w:rFonts w:ascii="Calibri" w:cs="Calibri" w:eastAsia="Calibri" w:hAnsi="Calibri"/>
          <w:b/>
          <w:bCs/>
          <w:color w:val="1B2A4A"/>
          <w:sz w:val="22"/>
          <w:szCs w:val="22"/>
        </w:rPr>
        <w:t xml:space="preserve">1.4 “Commercial Use” </w:t>
      </w:r>
      <w:r>
        <w:rPr>
          <w:rFonts w:ascii="Calibri" w:cs="Calibri" w:eastAsia="Calibri" w:hAnsi="Calibri"/>
          <w:color w:val="475569"/>
          <w:sz w:val="22"/>
          <w:szCs w:val="22"/>
        </w:rPr>
        <w:t xml:space="preserve">means any use of the Licensed Materials in connection with a revenue-generating activity, including but not limited to: consulting, training, coaching, certification, tooling, platform development, publication, or resale.</w:t>
      </w:r>
    </w:p>
    <w:p>
      <w:pPr>
        <w:pStyle w:val="Heading2"/>
      </w:pPr>
      <w:r>
        <w:rPr>
          <w:rFonts w:ascii="Calibri" w:cs="Calibri" w:eastAsia="Calibri" w:hAnsi="Calibri"/>
        </w:rPr>
        <w:t xml:space="preserve">2. Intellectual Property Ownership</w:t>
      </w:r>
    </w:p>
    <w:p>
      <w:pPr>
        <w:spacing w:after="200"/>
      </w:pPr>
      <w:r>
        <w:rPr>
          <w:rFonts w:ascii="Calibri" w:cs="Calibri" w:eastAsia="Calibri" w:hAnsi="Calibri"/>
          <w:b w:val="false"/>
          <w:bCs w:val="false"/>
          <w:i w:val="false"/>
          <w:iCs w:val="false"/>
          <w:color w:val="475569"/>
          <w:sz w:val="22"/>
          <w:szCs w:val="22"/>
        </w:rPr>
        <w:t xml:space="preserve">2.1 Alchemaize, Inc. is the sole and exclusive owner of all right, title, and interest in and to the Licensed Materials, including all copyrights, trade secrets, trademarks, service marks, and any other intellectual property rights therein.</w:t>
      </w:r>
    </w:p>
    <w:p>
      <w:pPr>
        <w:spacing w:after="200"/>
      </w:pPr>
      <w:r>
        <w:rPr>
          <w:rFonts w:ascii="Calibri" w:cs="Calibri" w:eastAsia="Calibri" w:hAnsi="Calibri"/>
          <w:b w:val="false"/>
          <w:bCs w:val="false"/>
          <w:i w:val="false"/>
          <w:iCs w:val="false"/>
          <w:color w:val="475569"/>
          <w:sz w:val="22"/>
          <w:szCs w:val="22"/>
        </w:rPr>
        <w:t xml:space="preserve">2.2 The Licensed Materials constitute original works of authorship protected under the Copyright Act of 1976 (17 U.S.C. § 101 et seq.) and applicable international copyright treaties. The structural arrangement, selection, and coordination of the methodology’s components constitute protectable expression under copyright law.</w:t>
      </w:r>
    </w:p>
    <w:p>
      <w:pPr>
        <w:spacing w:after="200"/>
      </w:pPr>
      <w:r>
        <w:rPr>
          <w:rFonts w:ascii="Calibri" w:cs="Calibri" w:eastAsia="Calibri" w:hAnsi="Calibri"/>
          <w:b w:val="false"/>
          <w:bCs w:val="false"/>
          <w:i w:val="false"/>
          <w:iCs w:val="false"/>
          <w:color w:val="475569"/>
          <w:sz w:val="22"/>
          <w:szCs w:val="22"/>
        </w:rPr>
        <w:t xml:space="preserve">2.3 The Licensed Materials contain trade secrets of Alchemaize, Inc. within the meaning of the Texas Uniform Trade Secrets Act (Tex. Civ. Prac. &amp; Rem. Code § 134A.001 et seq.) and the federal Defend Trade Secrets Act (18 U.S.C. § 1836 et seq.). The specific combination, sequencing, and interrelation of processes, roles, artifacts, and metrics within CID/ELCID derive independent economic value from not being generally known.</w:t>
      </w:r>
    </w:p>
    <w:p>
      <w:pPr>
        <w:spacing w:after="200"/>
      </w:pPr>
      <w:r>
        <w:rPr>
          <w:rFonts w:ascii="Calibri" w:cs="Calibri" w:eastAsia="Calibri" w:hAnsi="Calibri"/>
          <w:b w:val="false"/>
          <w:bCs w:val="false"/>
          <w:i w:val="false"/>
          <w:iCs w:val="false"/>
          <w:color w:val="475569"/>
          <w:sz w:val="22"/>
          <w:szCs w:val="22"/>
        </w:rPr>
        <w:t xml:space="preserve">2.4 The following marks are trademarks or service marks of Alchemaize, Inc., whether or not registered: CID, ELCID, Continuous Intent Delivery, Enterprise Layer for Continuous Intent Delivery, Catalyst, Verifiable Outcome Slice, VOS, Sky Overwatch, and any other product or methodology names used in connection with Alchemaize’s offerings.</w:t>
      </w:r>
    </w:p>
    <w:p>
      <w:pPr>
        <w:spacing w:after="200"/>
      </w:pPr>
      <w:r>
        <w:rPr>
          <w:rFonts w:ascii="Calibri" w:cs="Calibri" w:eastAsia="Calibri" w:hAnsi="Calibri"/>
          <w:b w:val="false"/>
          <w:bCs w:val="false"/>
          <w:i w:val="false"/>
          <w:iCs w:val="false"/>
          <w:color w:val="475569"/>
          <w:sz w:val="22"/>
          <w:szCs w:val="22"/>
        </w:rPr>
        <w:t xml:space="preserve">2.5 No transfer of ownership, assignment of rights, or grant of license is implied by access to the Licensed Materials except as expressly stated in a separate written agreement signed by an authorized officer of Alchemaize, Inc.</w:t>
      </w:r>
    </w:p>
    <w:p>
      <w:pPr>
        <w:pStyle w:val="Heading2"/>
      </w:pPr>
      <w:r>
        <w:rPr>
          <w:rFonts w:ascii="Calibri" w:cs="Calibri" w:eastAsia="Calibri" w:hAnsi="Calibri"/>
        </w:rPr>
        <w:t xml:space="preserve">3. Restrictions on Use</w:t>
      </w:r>
    </w:p>
    <w:p>
      <w:pPr>
        <w:spacing w:after="200"/>
      </w:pPr>
      <w:r>
        <w:rPr>
          <w:rFonts w:ascii="Calibri" w:cs="Calibri" w:eastAsia="Calibri" w:hAnsi="Calibri"/>
          <w:b w:val="false"/>
          <w:bCs w:val="false"/>
          <w:i w:val="false"/>
          <w:iCs w:val="false"/>
          <w:color w:val="475569"/>
          <w:sz w:val="22"/>
          <w:szCs w:val="22"/>
        </w:rPr>
        <w:t xml:space="preserve">No person or entity may, without the prior express written consent of Alchemaize, Inc.:</w:t>
      </w:r>
    </w:p>
    <w:p>
      <w:pPr>
        <w:spacing w:after="100"/>
        <w:ind w:left="720"/>
      </w:pPr>
      <w:r>
        <w:rPr>
          <w:rFonts w:ascii="Calibri" w:cs="Calibri" w:eastAsia="Calibri" w:hAnsi="Calibri"/>
          <w:b/>
          <w:bCs/>
          <w:color w:val="1B2A4A"/>
          <w:sz w:val="22"/>
          <w:szCs w:val="22"/>
        </w:rPr>
        <w:t xml:space="preserve">(a) </w:t>
      </w:r>
      <w:r>
        <w:rPr>
          <w:rFonts w:ascii="Calibri" w:cs="Calibri" w:eastAsia="Calibri" w:hAnsi="Calibri"/>
          <w:color w:val="475569"/>
          <w:sz w:val="22"/>
          <w:szCs w:val="22"/>
        </w:rPr>
        <w:t xml:space="preserve">Copy, reproduce, duplicate, or transcribe the Licensed Materials in whole or in substantial part, in any medium or format, whether print, digital, or otherwise.</w:t>
      </w:r>
    </w:p>
    <w:p>
      <w:pPr>
        <w:spacing w:after="100"/>
        <w:ind w:left="720"/>
      </w:pPr>
      <w:r>
        <w:rPr>
          <w:rFonts w:ascii="Calibri" w:cs="Calibri" w:eastAsia="Calibri" w:hAnsi="Calibri"/>
          <w:b/>
          <w:bCs/>
          <w:color w:val="1B2A4A"/>
          <w:sz w:val="22"/>
          <w:szCs w:val="22"/>
        </w:rPr>
        <w:t xml:space="preserve">(b) </w:t>
      </w:r>
      <w:r>
        <w:rPr>
          <w:rFonts w:ascii="Calibri" w:cs="Calibri" w:eastAsia="Calibri" w:hAnsi="Calibri"/>
          <w:color w:val="475569"/>
          <w:sz w:val="22"/>
          <w:szCs w:val="22"/>
        </w:rPr>
        <w:t xml:space="preserve">Modify, adapt, translate, rewrite, restructure, or create derivative works based on the Licensed Materials, including but not limited to renaming the methodology, roles, artifacts, or processes while retaining their structural logic and interrelationships.</w:t>
      </w:r>
    </w:p>
    <w:p>
      <w:pPr>
        <w:spacing w:after="100"/>
        <w:ind w:left="720"/>
      </w:pPr>
      <w:r>
        <w:rPr>
          <w:rFonts w:ascii="Calibri" w:cs="Calibri" w:eastAsia="Calibri" w:hAnsi="Calibri"/>
          <w:b/>
          <w:bCs/>
          <w:color w:val="1B2A4A"/>
          <w:sz w:val="22"/>
          <w:szCs w:val="22"/>
        </w:rPr>
        <w:t xml:space="preserve">(c) </w:t>
      </w:r>
      <w:r>
        <w:rPr>
          <w:rFonts w:ascii="Calibri" w:cs="Calibri" w:eastAsia="Calibri" w:hAnsi="Calibri"/>
          <w:color w:val="475569"/>
          <w:sz w:val="22"/>
          <w:szCs w:val="22"/>
        </w:rPr>
        <w:t xml:space="preserve">Distribute, publish, sublicense, lease, rent, loan, broadcast, or otherwise make the Licensed Materials available to any third party, whether for compensation or otherwise.</w:t>
      </w:r>
    </w:p>
    <w:p>
      <w:pPr>
        <w:spacing w:after="100"/>
        <w:ind w:left="720"/>
      </w:pPr>
      <w:r>
        <w:rPr>
          <w:rFonts w:ascii="Calibri" w:cs="Calibri" w:eastAsia="Calibri" w:hAnsi="Calibri"/>
          <w:b/>
          <w:bCs/>
          <w:color w:val="1B2A4A"/>
          <w:sz w:val="22"/>
          <w:szCs w:val="22"/>
        </w:rPr>
        <w:t xml:space="preserve">(d) </w:t>
      </w:r>
      <w:r>
        <w:rPr>
          <w:rFonts w:ascii="Calibri" w:cs="Calibri" w:eastAsia="Calibri" w:hAnsi="Calibri"/>
          <w:color w:val="475569"/>
          <w:sz w:val="22"/>
          <w:szCs w:val="22"/>
        </w:rPr>
        <w:t xml:space="preserve">Use the Licensed Materials for any Commercial Use, including consulting, training, certification programs, platform development, SaaS offerings, or resale of methodology-based services.</w:t>
      </w:r>
    </w:p>
    <w:p>
      <w:pPr>
        <w:spacing w:after="100"/>
        <w:ind w:left="720"/>
      </w:pPr>
      <w:r>
        <w:rPr>
          <w:rFonts w:ascii="Calibri" w:cs="Calibri" w:eastAsia="Calibri" w:hAnsi="Calibri"/>
          <w:b/>
          <w:bCs/>
          <w:color w:val="1B2A4A"/>
          <w:sz w:val="22"/>
          <w:szCs w:val="22"/>
        </w:rPr>
        <w:t xml:space="preserve">(e) </w:t>
      </w:r>
      <w:r>
        <w:rPr>
          <w:rFonts w:ascii="Calibri" w:cs="Calibri" w:eastAsia="Calibri" w:hAnsi="Calibri"/>
          <w:color w:val="475569"/>
          <w:sz w:val="22"/>
          <w:szCs w:val="22"/>
        </w:rPr>
        <w:t xml:space="preserve">Incorporate the Licensed Materials or any substantial portion thereof into any competing methodology, framework, process model, or consulting offering.</w:t>
      </w:r>
    </w:p>
    <w:p>
      <w:pPr>
        <w:spacing w:after="100"/>
        <w:ind w:left="720"/>
      </w:pPr>
      <w:r>
        <w:rPr>
          <w:rFonts w:ascii="Calibri" w:cs="Calibri" w:eastAsia="Calibri" w:hAnsi="Calibri"/>
          <w:b/>
          <w:bCs/>
          <w:color w:val="1B2A4A"/>
          <w:sz w:val="22"/>
          <w:szCs w:val="22"/>
        </w:rPr>
        <w:t xml:space="preserve">(f) </w:t>
      </w:r>
      <w:r>
        <w:rPr>
          <w:rFonts w:ascii="Calibri" w:cs="Calibri" w:eastAsia="Calibri" w:hAnsi="Calibri"/>
          <w:color w:val="475569"/>
          <w:sz w:val="22"/>
          <w:szCs w:val="22"/>
        </w:rPr>
        <w:t xml:space="preserve">Reverse engineer the structural design of the methodology to extract, replicate, or reconstruct the Framework IP.</w:t>
      </w:r>
    </w:p>
    <w:p>
      <w:pPr>
        <w:spacing w:after="100"/>
        <w:ind w:left="720"/>
      </w:pPr>
      <w:r>
        <w:rPr>
          <w:rFonts w:ascii="Calibri" w:cs="Calibri" w:eastAsia="Calibri" w:hAnsi="Calibri"/>
          <w:b/>
          <w:bCs/>
          <w:color w:val="1B2A4A"/>
          <w:sz w:val="22"/>
          <w:szCs w:val="22"/>
        </w:rPr>
        <w:t xml:space="preserve">(g) </w:t>
      </w:r>
      <w:r>
        <w:rPr>
          <w:rFonts w:ascii="Calibri" w:cs="Calibri" w:eastAsia="Calibri" w:hAnsi="Calibri"/>
          <w:color w:val="475569"/>
          <w:sz w:val="22"/>
          <w:szCs w:val="22"/>
        </w:rPr>
        <w:t xml:space="preserve">Remove, alter, obscure, or fail to reproduce any proprietary notices, copyright notices, trademark designations, or attribution statements contained in the Licensed Materials.</w:t>
      </w:r>
    </w:p>
    <w:p>
      <w:pPr>
        <w:spacing w:after="100"/>
        <w:ind w:left="720"/>
      </w:pPr>
      <w:r>
        <w:rPr>
          <w:rFonts w:ascii="Calibri" w:cs="Calibri" w:eastAsia="Calibri" w:hAnsi="Calibri"/>
          <w:b/>
          <w:bCs/>
          <w:color w:val="1B2A4A"/>
          <w:sz w:val="22"/>
          <w:szCs w:val="22"/>
        </w:rPr>
        <w:t xml:space="preserve">(h) </w:t>
      </w:r>
      <w:r>
        <w:rPr>
          <w:rFonts w:ascii="Calibri" w:cs="Calibri" w:eastAsia="Calibri" w:hAnsi="Calibri"/>
          <w:color w:val="475569"/>
          <w:sz w:val="22"/>
          <w:szCs w:val="22"/>
        </w:rPr>
        <w:t xml:space="preserve">Represent, whether explicitly or by implication, any affiliation with, endorsement by, or certification from Alchemaize, Inc. without a current, valid written agreement authorizing such representation.</w:t>
      </w:r>
    </w:p>
    <w:p>
      <w:pPr>
        <w:spacing w:after="100"/>
        <w:ind w:left="720"/>
      </w:pPr>
      <w:r>
        <w:rPr>
          <w:rFonts w:ascii="Calibri" w:cs="Calibri" w:eastAsia="Calibri" w:hAnsi="Calibri"/>
          <w:b/>
          <w:bCs/>
          <w:color w:val="1B2A4A"/>
          <w:sz w:val="22"/>
          <w:szCs w:val="22"/>
        </w:rPr>
        <w:t xml:space="preserve">(i) </w:t>
      </w:r>
      <w:r>
        <w:rPr>
          <w:rFonts w:ascii="Calibri" w:cs="Calibri" w:eastAsia="Calibri" w:hAnsi="Calibri"/>
          <w:color w:val="475569"/>
          <w:sz w:val="22"/>
          <w:szCs w:val="22"/>
        </w:rPr>
        <w:t xml:space="preserve">Use any Alchemaize trademark, service mark, or trade name in any manner likely to cause confusion, mistake, or deception as to source, sponsorship, or affiliation.</w:t>
      </w:r>
    </w:p>
    <w:p>
      <w:pPr>
        <w:spacing w:after="100"/>
        <w:ind w:left="720"/>
      </w:pPr>
      <w:r>
        <w:rPr>
          <w:rFonts w:ascii="Calibri" w:cs="Calibri" w:eastAsia="Calibri" w:hAnsi="Calibri"/>
          <w:b/>
          <w:bCs/>
          <w:color w:val="1B2A4A"/>
          <w:sz w:val="22"/>
          <w:szCs w:val="22"/>
        </w:rPr>
        <w:t xml:space="preserve">(j) </w:t>
      </w:r>
      <w:r>
        <w:rPr>
          <w:rFonts w:ascii="Calibri" w:cs="Calibri" w:eastAsia="Calibri" w:hAnsi="Calibri"/>
          <w:color w:val="475569"/>
          <w:sz w:val="22"/>
          <w:szCs w:val="22"/>
        </w:rPr>
        <w:t xml:space="preserve">Train, fine-tune, or incorporate the Licensed Materials into any machine learning model, artificial intelligence system, large language model, or automated content generation system without express written authorization.</w:t>
      </w:r>
    </w:p>
    <w:p>
      <w:pPr>
        <w:pStyle w:val="Heading2"/>
      </w:pPr>
      <w:r>
        <w:rPr>
          <w:rFonts w:ascii="Calibri" w:cs="Calibri" w:eastAsia="Calibri" w:hAnsi="Calibri"/>
        </w:rPr>
        <w:t xml:space="preserve">4. Permitted Uses</w:t>
      </w:r>
    </w:p>
    <w:p>
      <w:pPr>
        <w:spacing w:after="200"/>
      </w:pPr>
      <w:r>
        <w:rPr>
          <w:rFonts w:ascii="Calibri" w:cs="Calibri" w:eastAsia="Calibri" w:hAnsi="Calibri"/>
          <w:b w:val="false"/>
          <w:bCs w:val="false"/>
          <w:i w:val="false"/>
          <w:iCs w:val="false"/>
          <w:color w:val="475569"/>
          <w:sz w:val="22"/>
          <w:szCs w:val="22"/>
        </w:rPr>
        <w:t xml:space="preserve">4.1 Personal Evaluation. Individuals may read and evaluate the Licensed Materials for the sole purpose of determining whether to pursue a commercial license or consulting engagement with Alchemaize, Inc. This permission does not extend to implementation, teaching, or redistribution.</w:t>
      </w:r>
    </w:p>
    <w:p>
      <w:pPr>
        <w:spacing w:after="200"/>
      </w:pPr>
      <w:r>
        <w:rPr>
          <w:rFonts w:ascii="Calibri" w:cs="Calibri" w:eastAsia="Calibri" w:hAnsi="Calibri"/>
          <w:b w:val="false"/>
          <w:bCs w:val="false"/>
          <w:i w:val="false"/>
          <w:iCs w:val="false"/>
          <w:color w:val="475569"/>
          <w:sz w:val="22"/>
          <w:szCs w:val="22"/>
        </w:rPr>
        <w:t xml:space="preserve">4.2 Brief Attribution. Individuals and organizations may reference the CID/ELCID methodology by name in published works, provided that: (i) such references include accurate attribution to Alchemaize, Inc. as the originator; (ii) no substantial portion of the methodology’s content, structure, or processes is reproduced; and (iii) the reference does not imply endorsement, certification, or affiliation.</w:t>
      </w:r>
    </w:p>
    <w:p>
      <w:pPr>
        <w:spacing w:after="200"/>
      </w:pPr>
      <w:r>
        <w:rPr>
          <w:rFonts w:ascii="Calibri" w:cs="Calibri" w:eastAsia="Calibri" w:hAnsi="Calibri"/>
          <w:b w:val="false"/>
          <w:bCs w:val="false"/>
          <w:i w:val="false"/>
          <w:iCs w:val="false"/>
          <w:color w:val="475569"/>
          <w:sz w:val="22"/>
          <w:szCs w:val="22"/>
        </w:rPr>
        <w:t xml:space="preserve">4.3 Internal Assessment. Organizations may use the Licensed Materials for internal assessment of whether to adopt the methodology, provided that access is limited to decision-makers directly involved in the evaluation and no implementation occurs without a commercial license.</w:t>
      </w:r>
    </w:p>
    <w:p>
      <w:pPr>
        <w:pStyle w:val="Heading2"/>
      </w:pPr>
      <w:r>
        <w:rPr>
          <w:rFonts w:ascii="Calibri" w:cs="Calibri" w:eastAsia="Calibri" w:hAnsi="Calibri"/>
        </w:rPr>
        <w:t xml:space="preserve">5. Commercial Licensing</w:t>
      </w:r>
    </w:p>
    <w:p>
      <w:pPr>
        <w:spacing w:after="200"/>
      </w:pPr>
      <w:r>
        <w:rPr>
          <w:rFonts w:ascii="Calibri" w:cs="Calibri" w:eastAsia="Calibri" w:hAnsi="Calibri"/>
          <w:b w:val="false"/>
          <w:bCs w:val="false"/>
          <w:i w:val="false"/>
          <w:iCs w:val="false"/>
          <w:color w:val="475569"/>
          <w:sz w:val="22"/>
          <w:szCs w:val="22"/>
        </w:rPr>
        <w:t xml:space="preserve">5.1 Any Implementation or Commercial Use of the Licensed Materials requires a separate commercial license agreement executed by an authorized officer of Alchemaize, Inc. Available license types include but are not limited to:</w:t>
      </w:r>
    </w:p>
    <w:p>
      <w:pPr>
        <w:spacing w:after="100"/>
        <w:ind w:left="720"/>
      </w:pPr>
      <w:r>
        <w:rPr>
          <w:rFonts w:ascii="Calibri" w:cs="Calibri" w:eastAsia="Calibri" w:hAnsi="Calibri"/>
          <w:b/>
          <w:bCs/>
          <w:color w:val="1B2A4A"/>
          <w:sz w:val="22"/>
          <w:szCs w:val="22"/>
        </w:rPr>
        <w:t xml:space="preserve">(a) </w:t>
      </w:r>
      <w:r>
        <w:rPr>
          <w:rFonts w:ascii="Calibri" w:cs="Calibri" w:eastAsia="Calibri" w:hAnsi="Calibri"/>
          <w:color w:val="475569"/>
          <w:sz w:val="22"/>
          <w:szCs w:val="22"/>
        </w:rPr>
        <w:t xml:space="preserve">Enterprise Implementation License — authorizing internal adoption of CID/ELCID within a single organization.</w:t>
      </w:r>
    </w:p>
    <w:p>
      <w:pPr>
        <w:spacing w:after="100"/>
        <w:ind w:left="720"/>
      </w:pPr>
      <w:r>
        <w:rPr>
          <w:rFonts w:ascii="Calibri" w:cs="Calibri" w:eastAsia="Calibri" w:hAnsi="Calibri"/>
          <w:b/>
          <w:bCs/>
          <w:color w:val="1B2A4A"/>
          <w:sz w:val="22"/>
          <w:szCs w:val="22"/>
        </w:rPr>
        <w:t xml:space="preserve">(b) </w:t>
      </w:r>
      <w:r>
        <w:rPr>
          <w:rFonts w:ascii="Calibri" w:cs="Calibri" w:eastAsia="Calibri" w:hAnsi="Calibri"/>
          <w:color w:val="475569"/>
          <w:sz w:val="22"/>
          <w:szCs w:val="22"/>
        </w:rPr>
        <w:t xml:space="preserve">Consulting Partner License — authorizing a third-party consulting firm to deliver CID/ELCID implementation services to its clients under Alchemaize oversight.</w:t>
      </w:r>
    </w:p>
    <w:p>
      <w:pPr>
        <w:spacing w:after="100"/>
        <w:ind w:left="720"/>
      </w:pPr>
      <w:r>
        <w:rPr>
          <w:rFonts w:ascii="Calibri" w:cs="Calibri" w:eastAsia="Calibri" w:hAnsi="Calibri"/>
          <w:b/>
          <w:bCs/>
          <w:color w:val="1B2A4A"/>
          <w:sz w:val="22"/>
          <w:szCs w:val="22"/>
        </w:rPr>
        <w:t xml:space="preserve">(c) </w:t>
      </w:r>
      <w:r>
        <w:rPr>
          <w:rFonts w:ascii="Calibri" w:cs="Calibri" w:eastAsia="Calibri" w:hAnsi="Calibri"/>
          <w:color w:val="475569"/>
          <w:sz w:val="22"/>
          <w:szCs w:val="22"/>
        </w:rPr>
        <w:t xml:space="preserve">Training and Certification License — authorizing delivery of educational programs based on the Licensed Materials.</w:t>
      </w:r>
    </w:p>
    <w:p>
      <w:pPr>
        <w:spacing w:after="100"/>
        <w:ind w:left="720"/>
      </w:pPr>
      <w:r>
        <w:rPr>
          <w:rFonts w:ascii="Calibri" w:cs="Calibri" w:eastAsia="Calibri" w:hAnsi="Calibri"/>
          <w:b/>
          <w:bCs/>
          <w:color w:val="1B2A4A"/>
          <w:sz w:val="22"/>
          <w:szCs w:val="22"/>
        </w:rPr>
        <w:t xml:space="preserve">(d) </w:t>
      </w:r>
      <w:r>
        <w:rPr>
          <w:rFonts w:ascii="Calibri" w:cs="Calibri" w:eastAsia="Calibri" w:hAnsi="Calibri"/>
          <w:color w:val="475569"/>
          <w:sz w:val="22"/>
          <w:szCs w:val="22"/>
        </w:rPr>
        <w:t xml:space="preserve">Technology Integration License — authorizing incorporation of CID/ELCID principles into software tooling or platform products.</w:t>
      </w:r>
    </w:p>
    <w:p>
      <w:pPr>
        <w:spacing w:after="200"/>
      </w:pPr>
      <w:r>
        <w:rPr>
          <w:rFonts w:ascii="Calibri" w:cs="Calibri" w:eastAsia="Calibri" w:hAnsi="Calibri"/>
          <w:b w:val="false"/>
          <w:bCs w:val="false"/>
          <w:i w:val="false"/>
          <w:iCs w:val="false"/>
          <w:color w:val="475569"/>
          <w:sz w:val="22"/>
          <w:szCs w:val="22"/>
        </w:rPr>
        <w:t xml:space="preserve">5.2 Licensing inquiries should be directed to Alchemaize, Inc. at its principal place of business in College Station, Texas.</w:t>
      </w:r>
    </w:p>
    <w:p>
      <w:pPr>
        <w:pStyle w:val="Heading2"/>
      </w:pPr>
      <w:r>
        <w:rPr>
          <w:rFonts w:ascii="Calibri" w:cs="Calibri" w:eastAsia="Calibri" w:hAnsi="Calibri"/>
        </w:rPr>
        <w:t xml:space="preserve">6. Confidentiality</w:t>
      </w:r>
    </w:p>
    <w:p>
      <w:pPr>
        <w:spacing w:after="200"/>
      </w:pPr>
      <w:r>
        <w:rPr>
          <w:rFonts w:ascii="Calibri" w:cs="Calibri" w:eastAsia="Calibri" w:hAnsi="Calibri"/>
          <w:b w:val="false"/>
          <w:bCs w:val="false"/>
          <w:i w:val="false"/>
          <w:iCs w:val="false"/>
          <w:color w:val="475569"/>
          <w:sz w:val="22"/>
          <w:szCs w:val="22"/>
        </w:rPr>
        <w:t xml:space="preserve">6.1 The Licensed Materials contain trade secrets and confidential business information of Alchemaize, Inc. Any unauthorized disclosure, use, or copying of the Licensed Materials or any portion thereof is strictly prohibited.</w:t>
      </w:r>
    </w:p>
    <w:p>
      <w:pPr>
        <w:spacing w:after="200"/>
      </w:pPr>
      <w:r>
        <w:rPr>
          <w:rFonts w:ascii="Calibri" w:cs="Calibri" w:eastAsia="Calibri" w:hAnsi="Calibri"/>
          <w:b w:val="false"/>
          <w:bCs w:val="false"/>
          <w:i w:val="false"/>
          <w:iCs w:val="false"/>
          <w:color w:val="475569"/>
          <w:sz w:val="22"/>
          <w:szCs w:val="22"/>
        </w:rPr>
        <w:t xml:space="preserve">6.2 Any party that receives access to the Licensed Materials under a commercial license, consulting engagement, or evaluation arrangement agrees to maintain the confidentiality of all non-public elements of the Licensed Materials and to restrict access to individuals with a legitimate need to know.</w:t>
      </w:r>
    </w:p>
    <w:p>
      <w:pPr>
        <w:pStyle w:val="Heading2"/>
      </w:pPr>
      <w:r>
        <w:rPr>
          <w:rFonts w:ascii="Calibri" w:cs="Calibri" w:eastAsia="Calibri" w:hAnsi="Calibri"/>
        </w:rPr>
        <w:t xml:space="preserve">7. Enforcement and Remedies</w:t>
      </w:r>
    </w:p>
    <w:p>
      <w:pPr>
        <w:spacing w:after="200"/>
      </w:pPr>
      <w:r>
        <w:rPr>
          <w:rFonts w:ascii="Calibri" w:cs="Calibri" w:eastAsia="Calibri" w:hAnsi="Calibri"/>
          <w:b w:val="false"/>
          <w:bCs w:val="false"/>
          <w:i w:val="false"/>
          <w:iCs w:val="false"/>
          <w:color w:val="475569"/>
          <w:sz w:val="22"/>
          <w:szCs w:val="22"/>
        </w:rPr>
        <w:t xml:space="preserve">7.1 Alchemaize, Inc. reserves all rights to enforce its intellectual property rights to the fullest extent of applicable law, including but not limited to:</w:t>
      </w:r>
    </w:p>
    <w:p>
      <w:pPr>
        <w:spacing w:after="100"/>
        <w:ind w:left="720"/>
      </w:pPr>
      <w:r>
        <w:rPr>
          <w:rFonts w:ascii="Calibri" w:cs="Calibri" w:eastAsia="Calibri" w:hAnsi="Calibri"/>
          <w:b/>
          <w:bCs/>
          <w:color w:val="1B2A4A"/>
          <w:sz w:val="22"/>
          <w:szCs w:val="22"/>
        </w:rPr>
        <w:t xml:space="preserve">(a) </w:t>
      </w:r>
      <w:r>
        <w:rPr>
          <w:rFonts w:ascii="Calibri" w:cs="Calibri" w:eastAsia="Calibri" w:hAnsi="Calibri"/>
          <w:color w:val="475569"/>
          <w:sz w:val="22"/>
          <w:szCs w:val="22"/>
        </w:rPr>
        <w:t xml:space="preserve">Injunctive relief to prevent ongoing or imminent infringement, misappropriation, or unauthorized use.</w:t>
      </w:r>
    </w:p>
    <w:p>
      <w:pPr>
        <w:spacing w:after="100"/>
        <w:ind w:left="720"/>
      </w:pPr>
      <w:r>
        <w:rPr>
          <w:rFonts w:ascii="Calibri" w:cs="Calibri" w:eastAsia="Calibri" w:hAnsi="Calibri"/>
          <w:b/>
          <w:bCs/>
          <w:color w:val="1B2A4A"/>
          <w:sz w:val="22"/>
          <w:szCs w:val="22"/>
        </w:rPr>
        <w:t xml:space="preserve">(b) </w:t>
      </w:r>
      <w:r>
        <w:rPr>
          <w:rFonts w:ascii="Calibri" w:cs="Calibri" w:eastAsia="Calibri" w:hAnsi="Calibri"/>
          <w:color w:val="475569"/>
          <w:sz w:val="22"/>
          <w:szCs w:val="22"/>
        </w:rPr>
        <w:t xml:space="preserve">Recovery of actual damages, lost profits, and unjust enrichment resulting from unauthorized use.</w:t>
      </w:r>
    </w:p>
    <w:p>
      <w:pPr>
        <w:spacing w:after="100"/>
        <w:ind w:left="720"/>
      </w:pPr>
      <w:r>
        <w:rPr>
          <w:rFonts w:ascii="Calibri" w:cs="Calibri" w:eastAsia="Calibri" w:hAnsi="Calibri"/>
          <w:b/>
          <w:bCs/>
          <w:color w:val="1B2A4A"/>
          <w:sz w:val="22"/>
          <w:szCs w:val="22"/>
        </w:rPr>
        <w:t xml:space="preserve">(c) </w:t>
      </w:r>
      <w:r>
        <w:rPr>
          <w:rFonts w:ascii="Calibri" w:cs="Calibri" w:eastAsia="Calibri" w:hAnsi="Calibri"/>
          <w:color w:val="475569"/>
          <w:sz w:val="22"/>
          <w:szCs w:val="22"/>
        </w:rPr>
        <w:t xml:space="preserve">Statutory damages, enhanced damages, and attorney’s fees where available under applicable law.</w:t>
      </w:r>
    </w:p>
    <w:p>
      <w:pPr>
        <w:spacing w:after="100"/>
        <w:ind w:left="720"/>
      </w:pPr>
      <w:r>
        <w:rPr>
          <w:rFonts w:ascii="Calibri" w:cs="Calibri" w:eastAsia="Calibri" w:hAnsi="Calibri"/>
          <w:b/>
          <w:bCs/>
          <w:color w:val="1B2A4A"/>
          <w:sz w:val="22"/>
          <w:szCs w:val="22"/>
        </w:rPr>
        <w:t xml:space="preserve">(d) </w:t>
      </w:r>
      <w:r>
        <w:rPr>
          <w:rFonts w:ascii="Calibri" w:cs="Calibri" w:eastAsia="Calibri" w:hAnsi="Calibri"/>
          <w:color w:val="475569"/>
          <w:sz w:val="22"/>
          <w:szCs w:val="22"/>
        </w:rPr>
        <w:t xml:space="preserve">Criminal referral for willful infringement under 17 U.S.C. § 506 or trade secret misappropriation under 18 U.S.C. § 1832.</w:t>
      </w:r>
    </w:p>
    <w:p>
      <w:pPr>
        <w:spacing w:after="200"/>
      </w:pPr>
      <w:r>
        <w:rPr>
          <w:rFonts w:ascii="Calibri" w:cs="Calibri" w:eastAsia="Calibri" w:hAnsi="Calibri"/>
          <w:b w:val="false"/>
          <w:bCs w:val="false"/>
          <w:i w:val="false"/>
          <w:iCs w:val="false"/>
          <w:color w:val="475569"/>
          <w:sz w:val="22"/>
          <w:szCs w:val="22"/>
        </w:rPr>
        <w:t xml:space="preserve">7.2 The unauthorized use, reproduction, distribution, or implementation of the Licensed Materials may constitute copyright infringement, trade secret misappropriation, unfair competition, and/or trademark infringement, each of which carries civil and criminal penalties under federal and state law.</w:t>
      </w:r>
    </w:p>
    <w:p>
      <w:pPr>
        <w:pStyle w:val="Heading2"/>
      </w:pPr>
      <w:r>
        <w:rPr>
          <w:rFonts w:ascii="Calibri" w:cs="Calibri" w:eastAsia="Calibri" w:hAnsi="Calibri"/>
        </w:rPr>
        <w:t xml:space="preserve">8. Disclaimer of Warranty</w:t>
      </w:r>
    </w:p>
    <w:p>
      <w:pPr>
        <w:spacing w:after="200"/>
      </w:pPr>
      <w:r>
        <w:rPr>
          <w:rFonts w:ascii="Calibri" w:cs="Calibri" w:eastAsia="Calibri" w:hAnsi="Calibri"/>
          <w:b w:val="false"/>
          <w:bCs w:val="false"/>
          <w:i w:val="false"/>
          <w:iCs w:val="false"/>
          <w:color w:val="475569"/>
          <w:sz w:val="22"/>
          <w:szCs w:val="22"/>
        </w:rPr>
        <w:t xml:space="preserve">THE LICENSED MATERIALS ARE PROVIDED "AS IS," WITHOUT WARRANTY OF ANY KIND, EXPRESS OR IMPLIED, INCLUDING BUT NOT LIMITED TO THE WARRANTIES OF MERCHANTABILITY, FITNESS FOR A PARTICULAR PURPOSE, NONINFRINGEMENT, ACCURACY, COMPLETENESS, OR RESULTS. ALCHEMAIZE, INC. DOES NOT WARRANT THAT THE METHODOLOGY WILL PRODUCE ANY PARTICULAR BUSINESS OUTCOME OR THAT IMPLEMENTATION WILL BE ERROR-FREE.</w:t>
      </w:r>
    </w:p>
    <w:p>
      <w:pPr>
        <w:pStyle w:val="Heading2"/>
      </w:pPr>
      <w:r>
        <w:rPr>
          <w:rFonts w:ascii="Calibri" w:cs="Calibri" w:eastAsia="Calibri" w:hAnsi="Calibri"/>
        </w:rPr>
        <w:t xml:space="preserve">9. Limitation of Liability</w:t>
      </w:r>
    </w:p>
    <w:p>
      <w:pPr>
        <w:spacing w:after="200"/>
      </w:pPr>
      <w:r>
        <w:rPr>
          <w:rFonts w:ascii="Calibri" w:cs="Calibri" w:eastAsia="Calibri" w:hAnsi="Calibri"/>
          <w:b w:val="false"/>
          <w:bCs w:val="false"/>
          <w:i w:val="false"/>
          <w:iCs w:val="false"/>
          <w:color w:val="475569"/>
          <w:sz w:val="22"/>
          <w:szCs w:val="22"/>
        </w:rPr>
        <w:t xml:space="preserve">IN NO EVENT SHALL ALCHEMAIZE, INC. BE LIABLE FOR ANY DIRECT, INDIRECT, INCIDENTAL, SPECIAL, CONSEQUENTIAL, EXEMPLARY, OR PUNITIVE DAMAGES ARISING OUT OF OR RELATED TO THE USE OF, INABILITY TO USE, OR RELIANCE UPON THE LICENSED MATERIALS, WHETHER BASED IN CONTRACT, TORT, STRICT LIABILITY, OR ANY OTHER THEORY, EVEN IF ALCHEMAIZE HAS BEEN ADVISED OF THE POSSIBILITY OF SUCH DAMAGES.</w:t>
      </w:r>
    </w:p>
    <w:p>
      <w:pPr>
        <w:pStyle w:val="Heading2"/>
      </w:pPr>
      <w:r>
        <w:rPr>
          <w:rFonts w:ascii="Calibri" w:cs="Calibri" w:eastAsia="Calibri" w:hAnsi="Calibri"/>
        </w:rPr>
        <w:t xml:space="preserve">10. Governing Law and Jurisdiction</w:t>
      </w:r>
    </w:p>
    <w:p>
      <w:pPr>
        <w:spacing w:after="200"/>
      </w:pPr>
      <w:r>
        <w:rPr>
          <w:rFonts w:ascii="Calibri" w:cs="Calibri" w:eastAsia="Calibri" w:hAnsi="Calibri"/>
          <w:b w:val="false"/>
          <w:bCs w:val="false"/>
          <w:i w:val="false"/>
          <w:iCs w:val="false"/>
          <w:color w:val="475569"/>
          <w:sz w:val="22"/>
          <w:szCs w:val="22"/>
        </w:rPr>
        <w:t xml:space="preserve">10.1 This Agreement shall be governed by and construed in accordance with the laws of the State of Texas, without regard to its conflict of laws provisions.</w:t>
      </w:r>
    </w:p>
    <w:p>
      <w:pPr>
        <w:spacing w:after="200"/>
      </w:pPr>
      <w:r>
        <w:rPr>
          <w:rFonts w:ascii="Calibri" w:cs="Calibri" w:eastAsia="Calibri" w:hAnsi="Calibri"/>
          <w:b w:val="false"/>
          <w:bCs w:val="false"/>
          <w:i w:val="false"/>
          <w:iCs w:val="false"/>
          <w:color w:val="475569"/>
          <w:sz w:val="22"/>
          <w:szCs w:val="22"/>
        </w:rPr>
        <w:t xml:space="preserve">10.2 Any legal action or proceeding arising under this Agreement shall be brought exclusively in the state or federal courts located in Brazos County, Texas, and the parties hereby consent to personal jurisdiction and venue in such courts.</w:t>
      </w:r>
    </w:p>
    <w:p>
      <w:pPr>
        <w:spacing w:after="200"/>
      </w:pPr>
      <w:r>
        <w:rPr>
          <w:rFonts w:ascii="Calibri" w:cs="Calibri" w:eastAsia="Calibri" w:hAnsi="Calibri"/>
          <w:b w:val="false"/>
          <w:bCs w:val="false"/>
          <w:i w:val="false"/>
          <w:iCs w:val="false"/>
          <w:color w:val="475569"/>
          <w:sz w:val="22"/>
          <w:szCs w:val="22"/>
        </w:rPr>
        <w:t xml:space="preserve">10.3 In any action to enforce this Agreement, the prevailing party shall be entitled to recover its reasonable attorney’s fees and costs.</w:t>
      </w:r>
    </w:p>
    <w:p>
      <w:pPr>
        <w:pStyle w:val="Heading2"/>
      </w:pPr>
      <w:r>
        <w:rPr>
          <w:rFonts w:ascii="Calibri" w:cs="Calibri" w:eastAsia="Calibri" w:hAnsi="Calibri"/>
        </w:rPr>
        <w:t xml:space="preserve">11. General Provisions</w:t>
      </w:r>
    </w:p>
    <w:p>
      <w:pPr>
        <w:spacing w:after="200"/>
      </w:pPr>
      <w:r>
        <w:rPr>
          <w:rFonts w:ascii="Calibri" w:cs="Calibri" w:eastAsia="Calibri" w:hAnsi="Calibri"/>
          <w:b w:val="false"/>
          <w:bCs w:val="false"/>
          <w:i w:val="false"/>
          <w:iCs w:val="false"/>
          <w:color w:val="475569"/>
          <w:sz w:val="22"/>
          <w:szCs w:val="22"/>
        </w:rPr>
        <w:t xml:space="preserve">11.1 Severability. If any provision of this Agreement is held invalid or unenforceable, the remaining provisions shall continue in full force and effect.</w:t>
      </w:r>
    </w:p>
    <w:p>
      <w:pPr>
        <w:spacing w:after="200"/>
      </w:pPr>
      <w:r>
        <w:rPr>
          <w:rFonts w:ascii="Calibri" w:cs="Calibri" w:eastAsia="Calibri" w:hAnsi="Calibri"/>
          <w:b w:val="false"/>
          <w:bCs w:val="false"/>
          <w:i w:val="false"/>
          <w:iCs w:val="false"/>
          <w:color w:val="475569"/>
          <w:sz w:val="22"/>
          <w:szCs w:val="22"/>
        </w:rPr>
        <w:t xml:space="preserve">11.2 Entire Agreement. This Agreement constitutes the entire agreement regarding access to and use of the Licensed Materials, superseding all prior or contemporaneous communications.</w:t>
      </w:r>
    </w:p>
    <w:p>
      <w:pPr>
        <w:spacing w:after="200"/>
      </w:pPr>
      <w:r>
        <w:rPr>
          <w:rFonts w:ascii="Calibri" w:cs="Calibri" w:eastAsia="Calibri" w:hAnsi="Calibri"/>
          <w:b w:val="false"/>
          <w:bCs w:val="false"/>
          <w:i w:val="false"/>
          <w:iCs w:val="false"/>
          <w:color w:val="475569"/>
          <w:sz w:val="22"/>
          <w:szCs w:val="22"/>
        </w:rPr>
        <w:t xml:space="preserve">11.3 Amendment. Alchemaize, Inc. reserves the right to modify this Agreement at any time. Continued access to or use of the Licensed Materials after modification constitutes acceptance of the modified terms.</w:t>
      </w:r>
    </w:p>
    <w:p>
      <w:pPr>
        <w:spacing w:after="200"/>
      </w:pPr>
      <w:r>
        <w:rPr>
          <w:rFonts w:ascii="Calibri" w:cs="Calibri" w:eastAsia="Calibri" w:hAnsi="Calibri"/>
          <w:b w:val="false"/>
          <w:bCs w:val="false"/>
          <w:i w:val="false"/>
          <w:iCs w:val="false"/>
          <w:color w:val="475569"/>
          <w:sz w:val="22"/>
          <w:szCs w:val="22"/>
        </w:rPr>
        <w:t xml:space="preserve">11.4 No Waiver. The failure of Alchemaize, Inc. to enforce any provision of this Agreement shall not constitute a waiver of its right to enforce that provision or any other provision.</w:t>
      </w:r>
    </w:p>
    <w:p>
      <w:pPr>
        <w:spacing w:after="200"/>
      </w:pPr>
      <w:r>
        <w:rPr>
          <w:rFonts w:ascii="Calibri" w:cs="Calibri" w:eastAsia="Calibri" w:hAnsi="Calibri"/>
          <w:b w:val="false"/>
          <w:bCs w:val="false"/>
          <w:i w:val="false"/>
          <w:iCs w:val="false"/>
          <w:color w:val="475569"/>
          <w:sz w:val="22"/>
          <w:szCs w:val="22"/>
        </w:rPr>
        <w:t xml:space="preserve">11.5 Survival. Sections 2, 3, 6, 7, 8, 9, 10, and 11 shall survive any termination or expiration of this Agreement.</w:t>
      </w:r>
    </w:p>
    <w:p>
      <w:pPr>
        <w:pBdr>
          <w:bottom w:val="single" w:color="0E7C7B" w:sz="4" w:space="1"/>
        </w:pBdr>
        <w:spacing w:after="200" w:before="200"/>
      </w:pPr>
    </w:p>
    <w:p>
      <w:pPr>
        <w:spacing w:before="400"/>
      </w:pPr>
    </w:p>
    <w:p>
      <w:pPr>
        <w:spacing w:after="120"/>
        <w:jc w:val="center"/>
      </w:pPr>
      <w:r>
        <w:rPr>
          <w:rFonts w:ascii="Calibri" w:cs="Calibri" w:eastAsia="Calibri" w:hAnsi="Calibri"/>
          <w:b/>
          <w:bCs/>
          <w:color w:val="1B2A4A"/>
          <w:sz w:val="22"/>
          <w:szCs w:val="22"/>
        </w:rPr>
        <w:t xml:space="preserve">Unauthorized use, reproduction, distribution, or implementation of the Licensed Materials may result in severe civil and criminal penalties.</w:t>
      </w:r>
    </w:p>
    <w:p>
      <w:pPr>
        <w:spacing w:before="400"/>
      </w:pPr>
    </w:p>
    <w:p>
      <w:pPr>
        <w:pBdr>
          <w:bottom w:val="single" w:color="0E7C7B" w:sz="4" w:space="1"/>
        </w:pBdr>
        <w:spacing w:after="200" w:before="200"/>
      </w:pPr>
    </w:p>
    <w:p>
      <w:pPr>
        <w:spacing w:after="80" w:before="200"/>
        <w:jc w:val="center"/>
      </w:pPr>
      <w:r>
        <w:rPr>
          <w:rFonts w:ascii="Calibri" w:cs="Calibri" w:eastAsia="Calibri" w:hAnsi="Calibri"/>
          <w:b/>
          <w:bCs/>
          <w:color w:val="1B2A4A"/>
          <w:sz w:val="24"/>
          <w:szCs w:val="24"/>
        </w:rPr>
        <w:t xml:space="preserve">Alchemaize, Inc.</w:t>
      </w:r>
    </w:p>
    <w:p>
      <w:pPr>
        <w:spacing w:after="80"/>
        <w:jc w:val="center"/>
      </w:pPr>
      <w:r>
        <w:rPr>
          <w:rFonts w:ascii="Calibri" w:cs="Calibri" w:eastAsia="Calibri" w:hAnsi="Calibri"/>
          <w:color w:val="0E7C7B"/>
          <w:sz w:val="20"/>
          <w:szCs w:val="20"/>
        </w:rPr>
        <w:t xml:space="preserve">College Station, Texas</w:t>
      </w:r>
    </w:p>
    <w:p>
      <w:pPr>
        <w:jc w:val="center"/>
      </w:pPr>
      <w:r>
        <w:rPr>
          <w:rFonts w:ascii="Calibri" w:cs="Calibri" w:eastAsia="Calibri" w:hAnsi="Calibri"/>
          <w:color w:val="0E7C7B"/>
          <w:sz w:val="20"/>
          <w:szCs w:val="20"/>
        </w:rPr>
        <w:t xml:space="preserve">www.alchemaize.com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Calibri" w:cs="Calibri" w:eastAsia="Calibri" w:hAnsi="Calibri"/>
        <w:color w:val="475569"/>
        <w:sz w:val="16"/>
        <w:szCs w:val="16"/>
      </w:rPr>
      <w:t xml:space="preserve">© 2026 Alchemaize, Inc. All Rights Reserved.</w:t>
    </w:r>
    <w:r>
      <w:rPr>
        <w:rFonts w:ascii="Calibri" w:cs="Calibri" w:eastAsia="Calibri" w:hAnsi="Calibri"/>
        <w:color w:val="475569"/>
        <w:sz w:val="16"/>
        <w:szCs w:val="16"/>
      </w:rPr>
      <w:t xml:space="preserve">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Calibri" w:cs="Calibri" w:eastAsia="Calibri" w:hAnsi="Calibri"/>
        <w:i/>
        <w:iCs/>
        <w:color w:val="0E7C7B"/>
        <w:sz w:val="18"/>
        <w:szCs w:val="18"/>
      </w:rPr>
      <w:t xml:space="preserve">Alchemaize, Inc.</w:t>
    </w:r>
    <w:r>
      <w:rPr>
        <w:rFonts w:ascii="Calibri" w:cs="Calibri" w:eastAsia="Calibri" w:hAnsi="Calibri"/>
        <w:i/>
        <w:iCs/>
        <w:color w:val="475569"/>
        <w:sz w:val="18"/>
        <w:szCs w:val="18"/>
      </w:rPr>
      <w:t xml:space="preserve">	Proprietary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E7C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2026-04-09T18:13:32.649Z</dcterms:created>
  <dcterms:modified xsi:type="dcterms:W3CDTF">2026-04-09T18:13:32.651Z</dcterms:modified>
</cp:coreProperties>
</file>

<file path=docProps/custom.xml><?xml version="1.0" encoding="utf-8"?>
<Properties xmlns="http://schemas.openxmlformats.org/officeDocument/2006/custom-properties" xmlns:vt="http://schemas.openxmlformats.org/officeDocument/2006/docPropsVTypes"/>
</file>