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40"/>
        <w:jc w:val="center"/>
      </w:pPr>
      <w:r>
        <w:rPr>
          <w:rFonts w:ascii="Calibri" w:hAnsi="Calibri"/>
          <w:b/>
          <w:color w:val="2E74B5"/>
          <w:sz w:val="22"/>
        </w:rPr>
        <w:t>SISTEMA DE RECOLECCIÓN Y COBRANZAS</w:t>
      </w:r>
    </w:p>
    <w:p>
      <w:pPr>
        <w:spacing w:after="240"/>
        <w:jc w:val="center"/>
      </w:pPr>
      <w:r>
        <w:rPr>
          <w:rFonts w:ascii="Calibri" w:hAnsi="Calibri"/>
          <w:b/>
          <w:color w:val="1F4D78"/>
          <w:sz w:val="56"/>
        </w:rPr>
        <w:t>Manual de usuario</w:t>
      </w:r>
    </w:p>
    <w:p>
      <w:pPr>
        <w:spacing w:after="840"/>
        <w:jc w:val="center"/>
      </w:pPr>
      <w:r>
        <w:rPr>
          <w:rFonts w:ascii="Calibri" w:hAnsi="Calibri"/>
          <w:color w:val="606A74"/>
          <w:sz w:val="26"/>
        </w:rPr>
        <w:t>Guía operativa para todos los usuarios autorizados</w:t>
      </w:r>
    </w:p>
    <w:p>
      <w:pPr>
        <w:jc w:val="center"/>
      </w:pPr>
      <w:r>
        <w:rPr>
          <w:rFonts w:ascii="Calibri" w:hAnsi="Calibri"/>
          <w:b/>
          <w:color w:val="606A74"/>
          <w:sz w:val="22"/>
        </w:rPr>
        <w:t>Versión 1.0 | Agosto de 2026</w:t>
      </w:r>
    </w:p>
    <w:p>
      <w:r>
        <w:br w:type="page"/>
      </w:r>
    </w:p>
    <w:p>
      <w:r>
        <w:rPr>
          <w:rFonts w:ascii="Calibri" w:hAnsi="Calibri"/>
        </w:rPr>
        <w:t>Versión 1.0</w:t>
      </w:r>
    </w:p>
    <w:p>
      <w:r>
        <w:rPr>
          <w:rFonts w:ascii="Calibri" w:hAnsi="Calibri"/>
        </w:rPr>
        <w:t>Fecha de revisión: 29/08/2026</w:t>
      </w:r>
    </w:p>
    <w:p>
      <w:r>
        <w:rPr>
          <w:rFonts w:ascii="Calibri" w:hAnsi="Calibri"/>
        </w:rPr>
        <w:t>Destinatarios: todos los usuarios autorizados del sistema</w:t>
      </w:r>
    </w:p>
    <w:p>
      <w:pPr>
        <w:pStyle w:val="Heading1"/>
      </w:pPr>
      <w:r>
        <w:t>1. Objetivo</w:t>
      </w:r>
    </w:p>
    <w:p>
      <w:r>
        <w:rPr>
          <w:rFonts w:ascii="Calibri" w:hAnsi="Calibri"/>
        </w:rPr>
        <w:t>Este manual explica las tareas habituales del sistema: iniciar sesión, consultar usuarios y cuentas, administrar servicios, registrar cobranzas, emitir comprobantes, imprimir, generar reportes y resolver mensajes frecuentes.</w:t>
      </w:r>
    </w:p>
    <w:p>
      <w:r>
        <w:rPr>
          <w:rFonts w:ascii="Calibri" w:hAnsi="Calibri"/>
        </w:rPr>
        <w:t>Las opciones visibles dependen del rol asignado. Si una función descrita no aparece en el menú, solicite autorización al administrador; no intente acceder mediante direcciones copiadas de otro usuario.</w:t>
      </w:r>
    </w:p>
    <w:p>
      <w:pPr>
        <w:pStyle w:val="Heading1"/>
      </w:pPr>
      <w:r>
        <w:t>2. Acceso y seguridad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>Abra la dirección proporcionada por el administrador.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>Ingrese su usuario y contraseña.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>Verifique su nombre en la parte inferior del menú.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>Para cambiar la contraseña, abra Mi cuenta y seleccione Editar clave.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>Al terminar, use Cerrar sesión.</w:t>
      </w:r>
    </w:p>
    <w:p>
      <w:r>
        <w:rPr>
          <w:rFonts w:ascii="Calibri" w:hAnsi="Calibri"/>
        </w:rPr>
        <w:t>No comparta credenciales ni deje una sesión abierta en un equipo sin supervisión. Si sospecha un acceso indebido, cambie la contraseña y avise al administrador.</w:t>
      </w:r>
    </w:p>
    <w:p>
      <w:pPr>
        <w:pStyle w:val="Heading1"/>
      </w:pPr>
      <w:r>
        <w:t>3. Navegación</w:t>
      </w:r>
    </w:p>
    <w:p>
      <w:r>
        <w:rPr>
          <w:rFonts w:ascii="Calibri" w:hAnsi="Calibri"/>
        </w:rPr>
        <w:t>El botón de tres líneas abre o cierra el menú lateral. Desde allí se accede a Inicio, Cobranza, Datos básicos, Cuentas, Usuarios, Cobradores, Categorías, Zonas, Reportes y Ayuda y documentación.</w:t>
      </w:r>
    </w:p>
    <w:p>
      <w:r>
        <w:rPr>
          <w:rFonts w:ascii="Calibri" w:hAnsi="Calibri"/>
        </w:rPr>
        <w:t>Las tablas permiten buscar, ordenar y cambiar de página. En listados grandes, el servidor recupera solamente la página solicitada; por eso conviene usar filtros específicos.</w:t>
      </w:r>
    </w:p>
    <w:p>
      <w:pPr>
        <w:pStyle w:val="Heading1"/>
      </w:pPr>
      <w:r>
        <w:t>4. Usuarios del servicio</w:t>
      </w:r>
    </w:p>
    <w:p>
      <w:pPr>
        <w:pStyle w:val="Heading2"/>
      </w:pPr>
      <w:r>
        <w:t>4.1 Buscar y consultar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Abra Usuarios.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Escriba nombre, documento, cuenta u otro dato disponible en el buscador.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Seleccione el registro para consultar o editar según sus permisos.</w:t>
      </w:r>
    </w:p>
    <w:p>
      <w:pPr>
        <w:pStyle w:val="Heading2"/>
      </w:pPr>
      <w:r>
        <w:t>4.2 Registrar o modificar</w:t>
      </w:r>
    </w:p>
    <w:p>
      <w:r>
        <w:rPr>
          <w:rFonts w:ascii="Calibri" w:hAnsi="Calibri"/>
        </w:rPr>
        <w:t>Complete nombre, apellido, documento, dirección, celular y correo electrónico. Revise que el correo tenga un formato válido. Al editar, utilice el filtro del selector de categoría para localizar rápidamente la categoría correspondiente.</w:t>
      </w:r>
    </w:p>
    <w:p>
      <w:r>
        <w:rPr>
          <w:rFonts w:ascii="Calibri" w:hAnsi="Calibri"/>
        </w:rPr>
        <w:t>Los cambios de usuario quedan registrados en Auditoría operativa para ROOT y Administrador.</w:t>
      </w:r>
    </w:p>
    <w:p>
      <w:pPr>
        <w:pStyle w:val="Heading1"/>
      </w:pPr>
      <w:r>
        <w:t>5. Cuentas y servicios</w:t>
      </w:r>
    </w:p>
    <w:p>
      <w:r>
        <w:rPr>
          <w:rFonts w:ascii="Calibri" w:hAnsi="Calibri"/>
        </w:rPr>
        <w:t>Una cuenta corriente identifica el servicio asociado a un usuario, sucursal, zona, manzana, categoría y cobrador.</w:t>
      </w:r>
    </w:p>
    <w:p>
      <w:pPr>
        <w:pStyle w:val="Heading2"/>
      </w:pPr>
      <w:r>
        <w:t>5.1 Registrar un servicio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</w:rPr>
        <w:t>Abra Cuentas y pulse Agregar.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</w:rPr>
        <w:t>Seleccione el usuario.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</w:rPr>
        <w:t>Complete cuenta corriente, categoría, zona, manzana, cobrador, fecha y estado.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</w:rPr>
        <w:t>Verifique la tarifa correspondiente a la categoría.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</w:rPr>
        <w:t>Guarde.</w:t>
      </w:r>
    </w:p>
    <w:p>
      <w:pPr>
        <w:pStyle w:val="Heading2"/>
      </w:pPr>
      <w:r>
        <w:t>5.2 Modificar un servicio</w:t>
      </w:r>
    </w:p>
    <w:p>
      <w:r>
        <w:rPr>
          <w:rFonts w:ascii="Calibri" w:hAnsi="Calibri"/>
        </w:rPr>
        <w:t>ROOT, Administrador y Supervisor pueden modificar según las autorizaciones configuradas. Revise especialmente categoría, estado, zona y cobrador, porque afectan cobranzas y reportes.</w:t>
      </w:r>
    </w:p>
    <w:p>
      <w:pPr>
        <w:pStyle w:val="Heading2"/>
      </w:pPr>
      <w:r>
        <w:t>5.3 Estado y extracto de cuenta</w:t>
      </w:r>
    </w:p>
    <w:p>
      <w:r>
        <w:rPr>
          <w:rFonts w:ascii="Calibri" w:hAnsi="Calibri"/>
        </w:rPr>
        <w:t>Desde la cuenta puede consultar períodos pagados, deuda, saldo, recargo y movimientos. Pulse Generar extracto solamente después de que la pantalla recupere los datos. Si ocurre un error, el sistema debe mostrarlo sin abrir un documento vacío.</w:t>
      </w:r>
    </w:p>
    <w:p>
      <w:pPr>
        <w:pStyle w:val="Heading1"/>
      </w:pPr>
      <w:r>
        <w:t>6. Categorías, zonas y cobradores</w:t>
      </w:r>
    </w:p>
    <w:p>
      <w:r>
        <w:rPr>
          <w:rFonts w:ascii="Calibri" w:hAnsi="Calibri"/>
        </w:rPr>
        <w:t>Las categorías definen la tarifa del servicio. Las zonas y manzanas organizan territorialmente las cuentas. El cobrador permite asignar y agrupar la gestión de cobranza.</w:t>
      </w:r>
    </w:p>
    <w:p>
      <w:r>
        <w:rPr>
          <w:rFonts w:ascii="Calibri" w:hAnsi="Calibri"/>
        </w:rPr>
        <w:t>Antes de cambiar una tarifa o reasignar cuentas, confirme la fecha efectiva y el impacto en reportes. Los cambios de categoría quedan registrados en Auditoría operativa.</w:t>
      </w:r>
    </w:p>
    <w:p>
      <w:pPr>
        <w:pStyle w:val="Heading1"/>
      </w:pPr>
      <w:r>
        <w:t>7. Configuración fiscal para facturar</w:t>
      </w:r>
    </w:p>
    <w:p>
      <w:r>
        <w:rPr>
          <w:rFonts w:ascii="Calibri" w:hAnsi="Calibri"/>
        </w:rPr>
        <w:t>Esta sección corresponde principalmente a ROOT y Administrador.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</w:rPr>
        <w:t>Registre el timbrado con número, inicio, fin de vigencia y estado activo.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</w:rPr>
        <w:t>Registre o verifique la sucursal y el punto de expedición.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</w:rPr>
        <w:t>Abra los detalles del timbrado.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</w:rPr>
        <w:t>Seleccione sucursal, punto, tipo de comprobante y modo de emisión.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</w:rPr>
        <w:t>Para Manual, seleccione la serie e indique el rango autorizado.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</w:rPr>
        <w:t>Para Autoimpresor, la serie puede quedar vacía si la autorización no la utiliza.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</w:rPr>
        <w:t>Guarde y confirme que el detalle figure activo y vigente.</w:t>
      </w:r>
    </w:p>
    <w:p>
      <w:r>
        <w:rPr>
          <w:rFonts w:ascii="Calibri" w:hAnsi="Calibri"/>
        </w:rPr>
        <w:t>Un mismo timbrado puede configurarse para distintos establecimientos o puntos con rangos diferentes. Nunca amplíe o reutilice un rango sin respaldo fiscal.</w:t>
      </w:r>
    </w:p>
    <w:p>
      <w:pPr>
        <w:pStyle w:val="Heading1"/>
      </w:pPr>
      <w:r>
        <w:t>8. Emitir una factura manual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Abra Factura Manual desde Cobranza.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Busque la cuenta corriente o la razón social.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Seleccione el tipo Factura manual.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Seleccione el punto de expedición.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El sistema cargará los timbrados compatibles con el punto y tipo elegidos.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Seleccione timbrado y serie.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Escriba el número del talonario en N.º de factura.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Revise fecha, condición de venta, cobrador, comisión, períodos, tarifa, recargo y total.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Seleccione el método de pago. Para varios métodos, pulse Configurar y distribuya el importe completo.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Pulse Guardar factura una sola vez.</w:t>
      </w:r>
    </w:p>
    <w:p>
      <w:r>
        <w:rPr>
          <w:rFonts w:ascii="Calibri" w:hAnsi="Calibri"/>
        </w:rPr>
        <w:t>Después de guardar, la pantalla propone localmente el número siguiente. Compárelo siempre con el talonario físico.</w:t>
      </w:r>
    </w:p>
    <w:p>
      <w:pPr>
        <w:pStyle w:val="Heading1"/>
      </w:pPr>
      <w:r>
        <w:t>9. Emitir con autoimpresor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</w:rPr>
        <w:t>Abra Factura Manual desde Cobranza; la misma pantalla gestiona ambos modos.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</w:rPr>
        <w:t>Busque la cuenta corriente.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</w:rPr>
        <w:t>Seleccione el tipo de comprobante configurado como Autoimpresor.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</w:rPr>
        <w:t>Seleccione el punto de expedición.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</w:rPr>
        <w:t>El sistema recargará el timbrado y la serie que correspondan al tipo.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</w:rPr>
        <w:t>Verifique timbrado, vigencia, rango y serie o Sin serie.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</w:rPr>
        <w:t>El campo N.º de factura permanecerá bloqueado porque el sistema asigna el número.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</w:rPr>
        <w:t>Complete el pago y pulse Guardar factura.</w:t>
      </w:r>
    </w:p>
    <w:p>
      <w:r>
        <w:rPr>
          <w:rFonts w:ascii="Calibri" w:hAnsi="Calibri"/>
        </w:rPr>
        <w:t>Mientras se procesa, el botón queda deshabilitado. No recargue ni repita la operación. Al finalizar, verifique el número asignado.</w:t>
      </w:r>
    </w:p>
    <w:p>
      <w:pPr>
        <w:pStyle w:val="Heading1"/>
      </w:pPr>
      <w:r>
        <w:t>10. Consultar, imprimir y reimprimir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</w:rPr>
        <w:t>Abra Comprobantes.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</w:rPr>
        <w:t>Utilice los filtros para localizar el documento.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</w:rPr>
        <w:t>Abra el detalle y confirme cuenta, receptor, importe, timbrado y numeración.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</w:rPr>
        <w:t>Elija el formato de impresión disponible: A4, ticket de 58 mm o ticket de 80 mm.</w:t>
      </w:r>
    </w:p>
    <w:p>
      <w:r>
        <w:rPr>
          <w:rFonts w:ascii="Calibri" w:hAnsi="Calibri"/>
        </w:rPr>
        <w:t>La primera impresión y las reimpresiones quedan auditadas. La impresión utiliza los datos fiscales guardados al emitir, aunque posteriormente se modifique el timbrado.</w:t>
      </w:r>
    </w:p>
    <w:p>
      <w:pPr>
        <w:pStyle w:val="Heading1"/>
      </w:pPr>
      <w:r>
        <w:t>11. Anular un comprobante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</w:rPr>
        <w:t>Localice el comprobante.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</w:rPr>
        <w:t>Pulse Anular.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</w:rPr>
        <w:t>Verifique que sea el documento correcto.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</w:rPr>
        <w:t>Escriba un motivo claro.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</w:rPr>
        <w:t>Confirme.</w:t>
      </w:r>
    </w:p>
    <w:p>
      <w:r>
        <w:rPr>
          <w:rFonts w:ascii="Calibri" w:hAnsi="Calibri"/>
        </w:rPr>
        <w:t>No edite un autoimpreso emitido para corregirlo. La anulación queda registrada. Las notas de crédito, notas de débito y retenciones no están disponibles en la operación actual.</w:t>
      </w:r>
    </w:p>
    <w:p>
      <w:pPr>
        <w:pStyle w:val="Heading1"/>
      </w:pPr>
      <w:r>
        <w:t>12. Auditorías</w:t>
      </w:r>
    </w:p>
    <w:p>
      <w:r>
        <w:rPr>
          <w:rFonts w:ascii="Calibri" w:hAnsi="Calibri"/>
        </w:rPr>
        <w:t>ROOT y Administrador pueden acceder a: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Auditoría de comprobantes: emisión, impresión, reimpresión, anulación e intentos de modificación.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Auditoría operativa: cambios de usuarios, cuentas y categorías.</w:t>
      </w:r>
    </w:p>
    <w:p>
      <w:r>
        <w:rPr>
          <w:rFonts w:ascii="Calibri" w:hAnsi="Calibri"/>
        </w:rPr>
        <w:t>Las pantallas son de solo lectura. Use los filtros por número, acción, entidad o fecha para localizar el evento.</w:t>
      </w:r>
    </w:p>
    <w:p>
      <w:pPr>
        <w:pStyle w:val="Heading1"/>
      </w:pPr>
      <w:r>
        <w:t>13. Reportes</w:t>
      </w:r>
    </w:p>
    <w:p>
      <w:r>
        <w:rPr>
          <w:rFonts w:ascii="Calibri" w:hAnsi="Calibri"/>
        </w:rPr>
        <w:t>Abra Reportes, seleccione el informe, complete sus filtros y pulse Generar.</w:t>
      </w:r>
    </w:p>
    <w:p>
      <w:pPr>
        <w:pStyle w:val="Heading2"/>
      </w:pPr>
      <w:r>
        <w:t>13.1 Servicios por categoría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General: presenta una línea por categoría.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Por zona: presenta cada zona y dentro de ella sus categorías.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</w:rPr>
        <w:t>Por cobrador: presenta cada cobrador y dentro de él sus categorías.</w:t>
      </w:r>
    </w:p>
    <w:p>
      <w:r>
        <w:rPr>
          <w:rFonts w:ascii="Calibri" w:hAnsi="Calibri"/>
        </w:rPr>
        <w:t>Cada categoría muestra tarifa, cantidad de servicios y total, calculado como tarifa por cantidad.</w:t>
      </w:r>
    </w:p>
    <w:p>
      <w:pPr>
        <w:pStyle w:val="Heading2"/>
      </w:pPr>
      <w:r>
        <w:t>13.2 Otros reportes</w:t>
      </w:r>
    </w:p>
    <w:p>
      <w:r>
        <w:rPr>
          <w:rFonts w:ascii="Calibri" w:hAnsi="Calibri"/>
        </w:rPr>
        <w:t>Según el rol, pueden estar disponibles estado o extracto de cuenta, ingresos, comisiones por cobrador, facturas omitidas y detalles por zona o manzana.</w:t>
      </w:r>
    </w:p>
    <w:p>
      <w:r>
        <w:rPr>
          <w:rFonts w:ascii="Calibri" w:hAnsi="Calibri"/>
        </w:rPr>
        <w:t>Abra o descargue el PDF solamente después de recibir la confirmación del sistema. Si aparece un mensaje de error, corrija los filtros y vuelva a intentar.</w:t>
      </w:r>
    </w:p>
    <w:p>
      <w:pPr>
        <w:pStyle w:val="Heading1"/>
      </w:pPr>
      <w:r>
        <w:t>14. Recorridos y operación móvil</w:t>
      </w:r>
    </w:p>
    <w:p>
      <w:r>
        <w:rPr>
          <w:rFonts w:ascii="Calibri" w:hAnsi="Calibri"/>
        </w:rPr>
        <w:t>ROOT administra recorridos y dispositivos desde Recorridos. Los dispositivos autorizados pueden registrar ubicación, consultar su recorrido activo y emitir comprobantes según el perfil asignado.</w:t>
      </w:r>
    </w:p>
    <w:p>
      <w:r>
        <w:rPr>
          <w:rFonts w:ascii="Calibri" w:hAnsi="Calibri"/>
        </w:rPr>
        <w:t>Si un dispositivo pierde conexión, evite emitir repetidamente. Confirme Mis comprobantes cuando la conexión vuelva y comunique cualquier discrepancia.</w:t>
      </w:r>
    </w:p>
    <w:p>
      <w:pPr>
        <w:pStyle w:val="Heading1"/>
      </w:pPr>
      <w:r>
        <w:t>15. Mensajes frecuentes</w:t>
      </w:r>
    </w:p>
    <w:p>
      <w:pPr>
        <w:pStyle w:val="Heading2"/>
      </w:pPr>
      <w:r>
        <w:t>Sin timbrado vigente para este punto</w:t>
      </w:r>
    </w:p>
    <w:p>
      <w:r>
        <w:rPr>
          <w:rFonts w:ascii="Calibri" w:hAnsi="Calibri"/>
        </w:rPr>
        <w:t>No existe una configuración activa, vigente y compatible. Seleccione nuevamente tipo y punto; si continúa, avise al administrador.</w:t>
      </w:r>
    </w:p>
    <w:p>
      <w:pPr>
        <w:pStyle w:val="Heading2"/>
      </w:pPr>
      <w:r>
        <w:t>El timbrado no corresponde al tipo de comprobante</w:t>
      </w:r>
    </w:p>
    <w:p>
      <w:r>
        <w:rPr>
          <w:rFonts w:ascii="Calibri" w:hAnsi="Calibri"/>
        </w:rPr>
        <w:t>El detalle seleccionado no coincide con Manual o Autoimpresor. Cambie el tipo y espere la recarga de la serie correspondiente.</w:t>
      </w:r>
    </w:p>
    <w:p>
      <w:pPr>
        <w:pStyle w:val="Heading2"/>
      </w:pPr>
      <w:r>
        <w:t>Se agotó el rango autorizado</w:t>
      </w:r>
    </w:p>
    <w:p>
      <w:r>
        <w:rPr>
          <w:rFonts w:ascii="Calibri" w:hAnsi="Calibri"/>
        </w:rPr>
        <w:t>Detenga la emisión y avise al administrador. No altere el rango sin documentación fiscal.</w:t>
      </w:r>
    </w:p>
    <w:p>
      <w:pPr>
        <w:pStyle w:val="Heading2"/>
      </w:pPr>
      <w:r>
        <w:t>El número manual está bloqueado</w:t>
      </w:r>
    </w:p>
    <w:p>
      <w:r>
        <w:rPr>
          <w:rFonts w:ascii="Calibri" w:hAnsi="Calibri"/>
        </w:rPr>
        <w:t>Confirme que seleccionó Factura manual y un timbrado manual. Espere la carga completa y, después de una actualización del sistema, use Ctrl+F5.</w:t>
      </w:r>
    </w:p>
    <w:p>
      <w:pPr>
        <w:pStyle w:val="Heading2"/>
      </w:pPr>
      <w:r>
        <w:t>El botón continúa en Guardando</w:t>
      </w:r>
    </w:p>
    <w:p>
      <w:r>
        <w:rPr>
          <w:rFonts w:ascii="Calibri" w:hAnsi="Calibri"/>
        </w:rPr>
        <w:t>No vuelva a pulsarlo. Espere la respuesta y consulte Comprobantes para confirmar si la emisión fue registrada.</w:t>
      </w:r>
    </w:p>
    <w:p>
      <w:pPr>
        <w:pStyle w:val="Heading2"/>
      </w:pPr>
      <w:r>
        <w:t>Acceso prohibido</w:t>
      </w:r>
    </w:p>
    <w:p>
      <w:r>
        <w:rPr>
          <w:rFonts w:ascii="Calibri" w:hAnsi="Calibri"/>
        </w:rPr>
        <w:t>Su perfil no está autorizado para esa función. Cierre el mensaje y solicite al administrador la revisión de su rol.</w:t>
      </w:r>
    </w:p>
    <w:p>
      <w:pPr>
        <w:pStyle w:val="Heading2"/>
      </w:pPr>
      <w:r>
        <w:t>No se genera un reporte</w:t>
      </w:r>
    </w:p>
    <w:p>
      <w:r>
        <w:rPr>
          <w:rFonts w:ascii="Calibri" w:hAnsi="Calibri"/>
        </w:rPr>
        <w:t>Revise filtros y datos requeridos. Si el error continúa, copie el mensaje, la hora, el reporte solicitado y los filtros utilizados para soporte.</w:t>
      </w:r>
    </w:p>
    <w:p>
      <w:pPr>
        <w:pStyle w:val="Heading1"/>
      </w:pPr>
      <w:r>
        <w:t>16. Rutina recomendada</w:t>
      </w:r>
    </w:p>
    <w:p>
      <w:pPr>
        <w:pStyle w:val="Heading2"/>
      </w:pPr>
      <w:r>
        <w:t>Inicio del día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/>
        </w:rPr>
        <w:t>Inicie sesión y confirme usuario y sucursal.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/>
        </w:rPr>
        <w:t>Verifique timbrado, punto, vigencia y disponibilidad de impresión.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/>
        </w:rPr>
        <w:t>Realice una consulta de comprobantes y reportes.</w:t>
      </w:r>
    </w:p>
    <w:p>
      <w:pPr>
        <w:pStyle w:val="Heading2"/>
      </w:pPr>
      <w:r>
        <w:t>Cierre del día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/>
        </w:rPr>
        <w:t>Compare la última numeración con los comprobantes registrados.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/>
        </w:rPr>
        <w:t>Revise anulaciones y reimpresiones.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/>
        </w:rPr>
        <w:t>Verifique totales y medios de pago.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/>
        </w:rPr>
        <w:t>Registre incidentes o saltos de numeración.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/>
        </w:rPr>
        <w:t>Confirme con el responsable que el respaldo diario finalizó.</w:t>
      </w:r>
    </w:p>
    <w:p>
      <w:pPr>
        <w:pStyle w:val="Heading1"/>
      </w:pPr>
      <w:r>
        <w:t>17. Solicitud de soporte</w:t>
      </w:r>
    </w:p>
    <w:p>
      <w:r>
        <w:rPr>
          <w:rFonts w:ascii="Calibri" w:hAnsi="Calibri"/>
        </w:rPr>
        <w:t>Informe fecha y hora, usuario, sucursal, pantalla, operación realizada y texto exacto del mensaje. Cuando corresponda, agregue número de comprobante, cuenta corriente y punto de expedición. No envíe contraseñas ni claves de integración.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A74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A74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A74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DBE2"/>
      </w:pBdr>
    </w:pPr>
    <w:r>
      <w:rPr>
        <w:rFonts w:ascii="Calibri" w:hAnsi="Calibri"/>
        <w:b/>
        <w:color w:val="606A74"/>
        <w:sz w:val="18"/>
      </w:rPr>
      <w:t>Manual de usuario | Recolección y Cobranzas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DBE2"/>
      </w:pBdr>
    </w:pPr>
    <w:r>
      <w:rPr>
        <w:rFonts w:ascii="Calibri" w:hAnsi="Calibri"/>
        <w:b/>
        <w:color w:val="606A74"/>
        <w:sz w:val="18"/>
      </w:rPr>
      <w:t>Manual de usuario | Recolección y Cobranzas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DBE2"/>
      </w:pBdr>
    </w:pPr>
    <w:r>
      <w:rPr>
        <w:rFonts w:ascii="Calibri" w:hAnsi="Calibri"/>
        <w:b/>
        <w:color w:val="606A74"/>
        <w:sz w:val="18"/>
      </w:rPr>
      <w:t>Manual de usuario | Recolección y Cobranzas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Documentación de entrega del Sistema de Recolección y Cobranzas</dc:subject>
  <dc:creator>Equipo de implementación</dc:creator>
  <cp:keywords>recolección, cobranzas, facturación, manual, documentación</cp:keywords>
  <dc:description>Documento oficial de entrega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