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2E74B5"/>
          <w:sz w:val="22"/>
        </w:rPr>
        <w:t>SISTEMA DE RECOLECCIÓN Y COBRANZAS</w:t>
      </w:r>
    </w:p>
    <w:p>
      <w:pPr>
        <w:spacing w:after="240"/>
        <w:jc w:val="center"/>
      </w:pPr>
      <w:r>
        <w:rPr>
          <w:rFonts w:ascii="Calibri" w:hAnsi="Calibri"/>
          <w:b/>
          <w:color w:val="1F4D78"/>
          <w:sz w:val="56"/>
        </w:rPr>
        <w:t>Documentación técnica</w:t>
      </w:r>
    </w:p>
    <w:p>
      <w:pPr>
        <w:spacing w:after="840"/>
        <w:jc w:val="center"/>
      </w:pPr>
      <w:r>
        <w:rPr>
          <w:rFonts w:ascii="Calibri" w:hAnsi="Calibri"/>
          <w:color w:val="606A74"/>
          <w:sz w:val="26"/>
        </w:rPr>
        <w:t>Administración, operación y soporte técnico</w:t>
      </w:r>
    </w:p>
    <w:p>
      <w:pPr>
        <w:jc w:val="center"/>
      </w:pPr>
      <w:r>
        <w:rPr>
          <w:rFonts w:ascii="Calibri" w:hAnsi="Calibri"/>
          <w:b/>
          <w:color w:val="606A74"/>
          <w:sz w:val="22"/>
        </w:rPr>
        <w:t>Versión 1.0 | Agosto de 2026</w:t>
      </w:r>
    </w:p>
    <w:p>
      <w:r>
        <w:br w:type="page"/>
      </w:r>
    </w:p>
    <w:p>
      <w:r>
        <w:rPr>
          <w:rFonts w:ascii="Calibri" w:hAnsi="Calibri"/>
        </w:rPr>
        <w:t>Versión 1.0</w:t>
      </w:r>
    </w:p>
    <w:p>
      <w:r>
        <w:rPr>
          <w:rFonts w:ascii="Calibri" w:hAnsi="Calibri"/>
        </w:rPr>
        <w:t>Fecha de revisión: 29/08/2026</w:t>
      </w:r>
    </w:p>
    <w:p>
      <w:r>
        <w:rPr>
          <w:rFonts w:ascii="Calibri" w:hAnsi="Calibri"/>
        </w:rPr>
        <w:t>Clasificación: uso interno de administración y soporte técnico</w:t>
      </w:r>
    </w:p>
    <w:p>
      <w:pPr>
        <w:pStyle w:val="Heading1"/>
      </w:pPr>
      <w:r>
        <w:t>1. Propósito y alcance</w:t>
      </w:r>
    </w:p>
    <w:p>
      <w:r>
        <w:rPr>
          <w:rFonts w:ascii="Calibri" w:hAnsi="Calibri"/>
        </w:rPr>
        <w:t>El sistema administra usuarios del servicio, cuentas corrientes, categorías, zonas, cobradores, cobranzas, comprobantes, timbrados, reportes y auditorías para la operación del servicio de recolección.</w:t>
      </w:r>
    </w:p>
    <w:p>
      <w:r>
        <w:rPr>
          <w:rFonts w:ascii="Calibri" w:hAnsi="Calibri"/>
        </w:rPr>
        <w:t>La entrega incluye facturación manual y por autoimpresor, impresión A4 y tickets, anulación controlada, fotografía fiscal del comprobante, numeración concurrente, reportes operativos, auditoría de comprobantes y auditoría de entidades sensibles.</w:t>
      </w:r>
    </w:p>
    <w:p>
      <w:pPr>
        <w:pStyle w:val="Heading1"/>
      </w:pPr>
      <w:r>
        <w:t>2. Plataforma tecnológica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Java 17 y Spring Boot 3.0.4.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Spring MVC, Spring Security, Spring Data JPA y Thymeleaf.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MySQL 8 con tablas InnoDB y codificación UTF-8.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Flyway 11 para versionado y validación del esquema.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DataTables con paginación del lado servidor en listados de alto volumen.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JasperReports para comprobantes y reportes PDF.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Maven para compilación, pruebas y empaquetado.</w:t>
      </w:r>
    </w:p>
    <w:p>
      <w:pPr>
        <w:pStyle w:val="Heading1"/>
      </w:pPr>
      <w:r>
        <w:t>3. Arquitectura funcional</w:t>
      </w:r>
    </w:p>
    <w:p>
      <w:r>
        <w:rPr>
          <w:rFonts w:ascii="Calibri" w:hAnsi="Calibri"/>
        </w:rPr>
        <w:t>La interfaz web utiliza controladores MVC y servicios de aplicación. La persistencia se resuelve mediante repositorios JPA y consultas específicas para reportes y tablas paginadas. Spring Security protege las rutas y aplica autorizaciones por rol. MySQL conserva la información operativa y Flyway controla los cambios del esquema.</w:t>
      </w:r>
    </w:p>
    <w:p>
      <w:r>
        <w:rPr>
          <w:rFonts w:ascii="Calibri" w:hAnsi="Calibri"/>
        </w:rPr>
        <w:t>Los módulos principales son: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Seguridad, usuarios del sistema y roles.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Usuarios del servicio y datos de contacto.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Servicios, cuentas corrientes, categorías, zonas y manzanas.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Cobradores, comisiones, recorridos y seguimiento móvil.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Timbrados, establecimientos, puntos de expedición y series.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Emisión, consulta, impresión, reimpresión y anulación de comprobantes.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Reportes operativos y financieros.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Auditoría de comprobantes, usuarios, cuentas y categorías.</w:t>
      </w:r>
    </w:p>
    <w:p>
      <w:pPr>
        <w:pStyle w:val="Heading1"/>
      </w:pPr>
      <w:r>
        <w:t>4. Seguridad y autorización</w:t>
      </w:r>
    </w:p>
    <w:p>
      <w:r>
        <w:rPr>
          <w:rFonts w:ascii="Calibri" w:hAnsi="Calibri"/>
        </w:rPr>
        <w:t>La autenticación utiliza formulario de acceso y sesión HTTP. Las contraseñas se almacenan con BCrypt. Las cookies de sesión se configuran como HttpOnly, SameSite=Lax y deben marcarse como Secure cuando el sistema opera bajo HTTPS.</w:t>
      </w:r>
    </w:p>
    <w:p>
      <w:r>
        <w:rPr>
          <w:rFonts w:ascii="Calibri" w:hAnsi="Calibri"/>
        </w:rPr>
        <w:t>Perfiles principales: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ROOT: configuración global, datos maestros restringidos, recorridos y auditorías.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ADMINISTRADOR: administración operativa, usuarios del sistema, timbrados y auditorías.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SUPERVISOR: operación, consultas y funciones de supervisión habilitadas.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SECRETARIO: cobranza, consultas y reportes habilitados.</w:t>
      </w:r>
    </w:p>
    <w:p>
      <w:r>
        <w:rPr>
          <w:rFonts w:ascii="Calibri" w:hAnsi="Calibri"/>
        </w:rPr>
        <w:t>El manual de usuario está disponible para toda sesión autenticada. La documentación técnica se restringe a ROOT y ADMINISTRADOR. Las auditorías de comprobantes y entidades también se restringen a esos perfiles.</w:t>
      </w:r>
    </w:p>
    <w:p>
      <w:pPr>
        <w:pStyle w:val="Heading1"/>
      </w:pPr>
      <w:r>
        <w:t>5. Aislamiento por sucursal</w:t>
      </w:r>
    </w:p>
    <w:p>
      <w:r>
        <w:rPr>
          <w:rFonts w:ascii="Calibri" w:hAnsi="Calibri"/>
        </w:rPr>
        <w:t>La sucursal activa proviene del usuario conectado. Las consultas y operaciones sensibles deben aplicar ese código como parte del contexto. Timbrados, detalles, puntos, comprobantes, numeradores, auditorías, categorías y servicios se consultan dentro del contexto autorizado.</w:t>
      </w:r>
    </w:p>
    <w:p>
      <w:r>
        <w:rPr>
          <w:rFonts w:ascii="Calibri" w:hAnsi="Calibri"/>
        </w:rPr>
        <w:t>Un timbrado puede utilizarse en distintos establecimientos o puntos de expedición siempre que cada detalle tenga su configuración y rango autorizado. El sistema no debe presentar al operador detalles pertenecientes a otra sucursal.</w:t>
      </w:r>
    </w:p>
    <w:p>
      <w:pPr>
        <w:pStyle w:val="Heading1"/>
      </w:pPr>
      <w:r>
        <w:t>6. Modelo fiscal</w:t>
      </w:r>
    </w:p>
    <w:p>
      <w:pPr>
        <w:pStyle w:val="Heading2"/>
      </w:pPr>
      <w:r>
        <w:t>6.1 Timbrado y detalle</w:t>
      </w:r>
    </w:p>
    <w:p>
      <w:r>
        <w:rPr>
          <w:rFonts w:ascii="Consolas" w:hAnsi="Consolas"/>
          <w:color w:val="1F4D78"/>
          <w:sz w:val="19"/>
        </w:rPr>
        <w:t>timbrados</w:t>
      </w:r>
      <w:r>
        <w:rPr>
          <w:rFonts w:ascii="Calibri" w:hAnsi="Calibri"/>
        </w:rPr>
        <w:t xml:space="preserve"> conserva número, vigencia, empresa y estado. </w:t>
      </w:r>
      <w:r>
        <w:rPr>
          <w:rFonts w:ascii="Consolas" w:hAnsi="Consolas"/>
          <w:color w:val="1F4D78"/>
          <w:sz w:val="19"/>
        </w:rPr>
        <w:t>detalle_timbrado</w:t>
      </w:r>
      <w:r>
        <w:rPr>
          <w:rFonts w:ascii="Calibri" w:hAnsi="Calibri"/>
        </w:rPr>
        <w:t xml:space="preserve"> asocia el timbrado con sucursal, punto de expedición, serie opcional, modo de emisión, rango autorizado y estado.</w:t>
      </w:r>
    </w:p>
    <w:p>
      <w:r>
        <w:rPr>
          <w:rFonts w:ascii="Calibri" w:hAnsi="Calibri"/>
        </w:rPr>
        <w:t>El detalle es válido solamente cuando está activo, vigente, pertenece a la sucursal y punto seleccionados y coincide con el tipo o modo de comprobante.</w:t>
      </w:r>
    </w:p>
    <w:p>
      <w:pPr>
        <w:pStyle w:val="Heading2"/>
      </w:pPr>
      <w:r>
        <w:t>6.2 Identidad del comprobante</w:t>
      </w:r>
    </w:p>
    <w:p>
      <w:r>
        <w:rPr>
          <w:rFonts w:ascii="Calibri" w:hAnsi="Calibri"/>
        </w:rPr>
        <w:t>La identidad fiscal se determina por sucursal, punto de expedición, tipo de comprobante, serie y número. Los índices de consulta siguen ese contexto para localizar documentos y evitar duplicados.</w:t>
      </w:r>
    </w:p>
    <w:p>
      <w:r>
        <w:rPr>
          <w:rFonts w:ascii="Calibri" w:hAnsi="Calibri"/>
        </w:rPr>
        <w:t>En autoimpresor la serie puede estar ausente. Internamente se normaliza para conservar una clave estable, pero la representación impresa no muestra una serie inexistente.</w:t>
      </w:r>
    </w:p>
    <w:p>
      <w:pPr>
        <w:pStyle w:val="Heading2"/>
      </w:pPr>
      <w:r>
        <w:t>6.3 Fotografía fiscal</w:t>
      </w:r>
    </w:p>
    <w:p>
      <w:r>
        <w:rPr>
          <w:rFonts w:ascii="Calibri" w:hAnsi="Calibri"/>
        </w:rPr>
        <w:t>Al emitir se copian al comprobante el establecimiento, punto de expedición, número y vigencia del timbrado y la serie aplicable. Esta fotografía fiscal permite que una reimpresión conserve los datos originales aunque posteriormente se modifiquen los maestros.</w:t>
      </w:r>
    </w:p>
    <w:p>
      <w:pPr>
        <w:pStyle w:val="Heading1"/>
      </w:pPr>
      <w:r>
        <w:t>7. Emisión y concurrencia</w:t>
      </w:r>
    </w:p>
    <w:p>
      <w:pPr>
        <w:pStyle w:val="Heading2"/>
      </w:pPr>
      <w:r>
        <w:t>7.1 Factura manual</w:t>
      </w:r>
    </w:p>
    <w:p>
      <w:r>
        <w:rPr>
          <w:rFonts w:ascii="Calibri" w:hAnsi="Calibri"/>
        </w:rPr>
        <w:t>El operador ingresa el número del talonario. Después del guardado, la interfaz propone localmente el siguiente número. La base impide duplicar la misma combinación fiscal.</w:t>
      </w:r>
    </w:p>
    <w:p>
      <w:pPr>
        <w:pStyle w:val="Heading2"/>
      </w:pPr>
      <w:r>
        <w:t>7.2 Autoimpresor</w:t>
      </w:r>
    </w:p>
    <w:p>
      <w:r>
        <w:rPr>
          <w:rFonts w:ascii="Consolas" w:hAnsi="Consolas"/>
          <w:color w:val="1F4D78"/>
          <w:sz w:val="19"/>
        </w:rPr>
        <w:t>numeradores_autoimpresor</w:t>
      </w:r>
      <w:r>
        <w:rPr>
          <w:rFonts w:ascii="Calibri" w:hAnsi="Calibri"/>
        </w:rPr>
        <w:t xml:space="preserve"> conserva el último número por timbrado, sucursal, punto, tipo y serie. La reserva se ejecuta dentro de la misma transacción de emisión mediante </w:t>
      </w:r>
      <w:r>
        <w:rPr>
          <w:rFonts w:ascii="Consolas" w:hAnsi="Consolas"/>
          <w:color w:val="1F4D78"/>
          <w:sz w:val="19"/>
        </w:rPr>
        <w:t>SELECT ... FOR UPDATE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Cuando dos solicitudes compiten por el mismo numerador, una espera el cierre de la otra y recibe el número siguiente. Si la emisión falla, la transacción revierte también la reserva. Numeradores de distintos timbrados o puntos pueden avanzar de forma independiente.</w:t>
      </w:r>
    </w:p>
    <w:p>
      <w:r>
        <w:rPr>
          <w:rFonts w:ascii="Calibri" w:hAnsi="Calibri"/>
        </w:rPr>
        <w:t>La interfaz deshabilita Guardar mientras existe una solicitud en curso, lo que reduce dobles envíos. La protección definitiva contra duplicados se mantiene en la transacción y en la clave fiscal de la base.</w:t>
      </w:r>
    </w:p>
    <w:p>
      <w:pPr>
        <w:pStyle w:val="Heading2"/>
      </w:pPr>
      <w:r>
        <w:t>7.3 Validaciones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Sucursal activa y autorizada.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Timbrado y detalle activos y vigentes.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Compatibilidad entre punto, tipo de comprobante, modo y serie.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Número dentro del rango autorizado.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Cuenta, usuario, categoría y cobrador válidos.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Al menos un medio de pago y suma compatible con el total.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Prohibición de editar un autoimpreso ya emitido.</w:t>
      </w:r>
    </w:p>
    <w:p>
      <w:pPr>
        <w:pStyle w:val="Heading1"/>
      </w:pPr>
      <w:r>
        <w:t>8. Auditoría y trazabilidad</w:t>
      </w:r>
    </w:p>
    <w:p>
      <w:r>
        <w:rPr>
          <w:rFonts w:ascii="Consolas" w:hAnsi="Consolas"/>
          <w:color w:val="1F4D78"/>
          <w:sz w:val="19"/>
        </w:rPr>
        <w:t>auditoria_comprobantes</w:t>
      </w:r>
      <w:r>
        <w:rPr>
          <w:rFonts w:ascii="Calibri" w:hAnsi="Calibri"/>
        </w:rPr>
        <w:t xml:space="preserve"> registra emisión, impresión, reimpresión, anulación e intentos rechazados de modificación. Su consulta usa DataTables en modo servidor, con filtros por número y acción.</w:t>
      </w:r>
    </w:p>
    <w:p>
      <w:r>
        <w:rPr>
          <w:rFonts w:ascii="Consolas" w:hAnsi="Consolas"/>
          <w:color w:val="1F4D78"/>
          <w:sz w:val="19"/>
        </w:rPr>
        <w:t>auditoria_entidades</w:t>
      </w:r>
      <w:r>
        <w:rPr>
          <w:rFonts w:ascii="Calibri" w:hAnsi="Calibri"/>
        </w:rPr>
        <w:t xml:space="preserve"> registra cambios de usuarios, cuentas y categorías. Las vistas son de solo lectura y están disponibles únicamente para ROOT y ADMINISTRADOR.</w:t>
      </w:r>
    </w:p>
    <w:p>
      <w:r>
        <w:rPr>
          <w:rFonts w:ascii="Calibri" w:hAnsi="Calibri"/>
        </w:rPr>
        <w:t>La auditoría debe conservar fecha, acción, usuario del sistema, sucursal, identificación del registro, motivo cuando corresponda y datos suficientes para reconstruir el evento.</w:t>
      </w:r>
    </w:p>
    <w:p>
      <w:pPr>
        <w:pStyle w:val="Heading1"/>
      </w:pPr>
      <w:r>
        <w:t>9. Reportes</w:t>
      </w:r>
    </w:p>
    <w:p>
      <w:r>
        <w:rPr>
          <w:rFonts w:ascii="Calibri" w:hAnsi="Calibri"/>
        </w:rPr>
        <w:t>El sistema genera reportes PDF mediante JasperReports. Entre los reportes disponibles se encuentran estado y extracto de cuenta, ingresos, comisiones, facturas omitidas, detalles por zona o manzana y servicios por categoría.</w:t>
      </w:r>
    </w:p>
    <w:p>
      <w:r>
        <w:rPr>
          <w:rFonts w:ascii="Calibri" w:hAnsi="Calibri"/>
        </w:rPr>
        <w:t>El reporte de servicios por categoría puede agruparse de forma general, por zona o por cobrador. Para cada categoría muestra tarifa, cantidad de servicios y total calculado como tarifa multiplicada por cantidad.</w:t>
      </w:r>
    </w:p>
    <w:p>
      <w:pPr>
        <w:pStyle w:val="Heading1"/>
      </w:pPr>
      <w:r>
        <w:t>10. Base de datos y migraciones</w:t>
      </w:r>
    </w:p>
    <w:p>
      <w:r>
        <w:rPr>
          <w:rFonts w:ascii="Calibri" w:hAnsi="Calibri"/>
        </w:rPr>
        <w:t>Flyway es el único mecanismo autorizado para modificar el esquema en producción. La validación se ejecuta al iniciar y bloquea el arranque cuando detecta inconsistencias.</w:t>
      </w:r>
    </w:p>
    <w:p>
      <w:r>
        <w:rPr>
          <w:rFonts w:ascii="Calibri" w:hAnsi="Calibri"/>
        </w:rPr>
        <w:t xml:space="preserve">No ejecutar </w:t>
      </w:r>
      <w:r>
        <w:rPr>
          <w:rFonts w:ascii="Consolas" w:hAnsi="Consolas"/>
          <w:color w:val="1F4D78"/>
          <w:sz w:val="19"/>
        </w:rPr>
        <w:t>flyway clean</w:t>
      </w:r>
      <w:r>
        <w:rPr>
          <w:rFonts w:ascii="Calibri" w:hAnsi="Calibri"/>
        </w:rPr>
        <w:t xml:space="preserve"> ni eliminar manualmente registros de </w:t>
      </w:r>
      <w:r>
        <w:rPr>
          <w:rFonts w:ascii="Consolas" w:hAnsi="Consolas"/>
          <w:color w:val="1F4D78"/>
          <w:sz w:val="19"/>
        </w:rPr>
        <w:t>flyway_schema_history</w:t>
      </w:r>
      <w:r>
        <w:rPr>
          <w:rFonts w:ascii="Calibri" w:hAnsi="Calibri"/>
        </w:rPr>
        <w:t xml:space="preserve"> en ambientes con datos. Antes de aplicar migraciones se debe realizar un respaldo completo y probar su restauración.</w:t>
      </w:r>
    </w:p>
    <w:p>
      <w:r>
        <w:rPr>
          <w:rFonts w:ascii="Calibri" w:hAnsi="Calibri"/>
        </w:rPr>
        <w:t>El usuario MySQL de la aplicación debe disponer solamente de los permisos requeridos sobre su esquema: lectura, inserción, actualización, eliminación y ejecución de funciones. No debe utilizarse la cuenta root para operación normal.</w:t>
      </w:r>
    </w:p>
    <w:p>
      <w:pPr>
        <w:pStyle w:val="Heading1"/>
      </w:pPr>
      <w:r>
        <w:t>11. Configuración de producción</w:t>
      </w:r>
    </w:p>
    <w:p>
      <w:r>
        <w:rPr>
          <w:rFonts w:ascii="Calibri" w:hAnsi="Calibri"/>
        </w:rPr>
        <w:t>Variables requeridas: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SPRING_PROFILES_ACTIVE=prod</w:t>
      </w:r>
      <w:r>
        <w:rPr>
          <w:rFonts w:ascii="Calibri" w:hAnsi="Calibri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DB_URL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DB_USERNAME</w:t>
      </w:r>
      <w:r>
        <w:rPr>
          <w:rFonts w:ascii="Calibri" w:hAnsi="Calibri"/>
        </w:rPr>
        <w:t xml:space="preserve"> y </w:t>
      </w:r>
      <w:r>
        <w:rPr>
          <w:rFonts w:ascii="Consolas" w:hAnsi="Consolas"/>
          <w:color w:val="1F4D78"/>
          <w:sz w:val="19"/>
        </w:rPr>
        <w:t>DB_PASSWORD</w:t>
      </w:r>
      <w:r>
        <w:rPr>
          <w:rFonts w:ascii="Calibri" w:hAnsi="Calibri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SERVER_PORT</w:t>
      </w:r>
      <w:r>
        <w:rPr>
          <w:rFonts w:ascii="Calibri" w:hAnsi="Calibri"/>
        </w:rPr>
        <w:t>, cuando se necesite un puerto diferente de 8080.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SESSION_COOKIE_SECURE=true</w:t>
      </w:r>
      <w:r>
        <w:rPr>
          <w:rFonts w:ascii="Calibri" w:hAnsi="Calibri"/>
        </w:rPr>
        <w:t xml:space="preserve"> cuando se publica mediante HTTPS.</w:t>
      </w:r>
    </w:p>
    <w:p>
      <w:r>
        <w:rPr>
          <w:rFonts w:ascii="Calibri" w:hAnsi="Calibri"/>
        </w:rPr>
        <w:t>La aplicación debe ejecutarse detrás de HTTPS, con acceso de red restringido a MySQL. Las credenciales deben mantenerse en variables protegidas o en un gestor de secretos.</w:t>
      </w:r>
    </w:p>
    <w:p>
      <w:pPr>
        <w:pStyle w:val="Heading1"/>
      </w:pPr>
      <w:r>
        <w:t>12. Compilación y despliegue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 xml:space="preserve">Ejecutar </w:t>
      </w:r>
      <w:r>
        <w:rPr>
          <w:rFonts w:ascii="Consolas" w:hAnsi="Consolas"/>
          <w:color w:val="1F4D78"/>
          <w:sz w:val="19"/>
        </w:rPr>
        <w:t>mvn clean test</w:t>
      </w:r>
      <w:r>
        <w:rPr>
          <w:rFonts w:ascii="Calibri" w:hAnsi="Calibri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 xml:space="preserve">Ejecutar </w:t>
      </w:r>
      <w:r>
        <w:rPr>
          <w:rFonts w:ascii="Consolas" w:hAnsi="Consolas"/>
          <w:color w:val="1F4D78"/>
          <w:sz w:val="19"/>
        </w:rPr>
        <w:t>mvn clean package -DskipTests</w:t>
      </w:r>
      <w:r>
        <w:rPr>
          <w:rFonts w:ascii="Calibri" w:hAnsi="Calibri"/>
        </w:rPr>
        <w:t xml:space="preserve"> si la etapa de empaquetado es independiente.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 xml:space="preserve">Confirmar el artefacto </w:t>
      </w:r>
      <w:r>
        <w:rPr>
          <w:rFonts w:ascii="Consolas" w:hAnsi="Consolas"/>
          <w:color w:val="1F4D78"/>
          <w:sz w:val="19"/>
        </w:rPr>
        <w:t>target/recoleccion-1.0.jar</w:t>
      </w:r>
      <w:r>
        <w:rPr>
          <w:rFonts w:ascii="Calibri" w:hAnsi="Calibri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Realizar respaldo y prueba de restauración.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Configurar variables del perfil de producción.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 xml:space="preserve">Iniciar con </w:t>
      </w:r>
      <w:r>
        <w:rPr>
          <w:rFonts w:ascii="Consolas" w:hAnsi="Consolas"/>
          <w:color w:val="1F4D78"/>
          <w:sz w:val="19"/>
        </w:rPr>
        <w:t>java -jar target/recoleccion-1.0.jar</w:t>
      </w:r>
      <w:r>
        <w:rPr>
          <w:rFonts w:ascii="Calibri" w:hAnsi="Calibri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 xml:space="preserve">Verificar </w:t>
      </w:r>
      <w:r>
        <w:rPr>
          <w:rFonts w:ascii="Consolas" w:hAnsi="Consolas"/>
          <w:color w:val="1F4D78"/>
          <w:sz w:val="19"/>
        </w:rPr>
        <w:t>/actuator/health</w:t>
      </w:r>
      <w:r>
        <w:rPr>
          <w:rFonts w:ascii="Calibri" w:hAnsi="Calibri"/>
        </w:rPr>
        <w:t>, acceso, permisos y funciones críticas.</w:t>
      </w:r>
    </w:p>
    <w:p>
      <w:pPr>
        <w:pStyle w:val="Heading1"/>
      </w:pPr>
      <w:r>
        <w:t>13. Respaldo, recuperación y operación</w:t>
      </w:r>
    </w:p>
    <w:p>
      <w:r>
        <w:rPr>
          <w:rFonts w:ascii="Calibri" w:hAnsi="Calibri"/>
        </w:rPr>
        <w:t>Debe existir un respaldo automático diario de MySQL con retención definida. Periódicamente se debe restaurar una copia en un ambiente aislado para confirmar que el respaldo es utilizable.</w:t>
      </w:r>
    </w:p>
    <w:p>
      <w:r>
        <w:rPr>
          <w:rFonts w:ascii="Calibri" w:hAnsi="Calibri"/>
        </w:rPr>
        <w:t>Ante un despliegue fallido, detener nuevas emisiones, conservar registros y mensajes de error, restaurar el artefacto anterior y evaluar la compatibilidad del esquema. Nunca revertir una migración destruyendo datos sin un procedimiento probado.</w:t>
      </w:r>
    </w:p>
    <w:p>
      <w:r>
        <w:rPr>
          <w:rFonts w:ascii="Calibri" w:hAnsi="Calibri"/>
        </w:rPr>
        <w:t>Los registros de aplicación deben conservar fecha, nivel y contexto suficiente, sin incluir contraseñas, claves API ni datos sensibles innecesarios.</w:t>
      </w:r>
    </w:p>
    <w:p>
      <w:pPr>
        <w:pStyle w:val="Heading1"/>
      </w:pPr>
      <w:r>
        <w:t>14. Prueba de aceptación</w:t>
      </w:r>
    </w:p>
    <w:p>
      <w:r>
        <w:rPr>
          <w:rFonts w:ascii="Calibri" w:hAnsi="Calibri"/>
        </w:rPr>
        <w:t>Antes de la entrega operativa se debe comprobar: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Inicio de sesión y permisos de cada rol.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Aislamiento de información entre sucursales.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Alta y modificación de usuario, cuenta y categoría con registro de auditoría.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Generación de estado y extracto de cuenta.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Factura manual con número ingresado y propuesta del siguiente.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Autoimpresor con emisiones concurrentes y números consecutivos sin duplicados.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Impresión A4, ticket de 58 mm y ticket de 80 mm.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Reimpresión, anulación y consulta de auditoría.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Reportes generales, por zona y por cobrador.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Respaldo, restauración y comprobación de salud del servicio.</w:t>
      </w:r>
    </w:p>
    <w:p>
      <w:pPr>
        <w:pStyle w:val="Heading1"/>
      </w:pPr>
      <w:r>
        <w:t>15. Lista de entrega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Datos fiscales comparados con la autorización vigente.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Pruebas automáticas y aceptación funcional aprobadas.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Respaldo y restauración verificados.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HTTPS, cookies seguras y credenciales protegidas.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Usuarios, roles y sucursales revisados.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Manual disponible para todos los usuarios autenticados.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Documentación técnica disponible solo para ROOT y ADMINISTRADOR.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Responsable de operación, soporte y recuperación designado.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Documentación técnica | Recolección y Cobranzas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Documentación técnica | Recolección y Cobranzas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Documentación técnica | Recolección y Cobranzas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</dc:title>
  <dc:subject>Documentación de entrega del Sistema de Recolección y Cobranzas</dc:subject>
  <dc:creator>Equipo de implementación</dc:creator>
  <cp:keywords>recolección, cobranzas, facturación, manual, documentación</cp:keywords>
  <dc:description>Documento oficial de entrega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