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2229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dsfdsf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343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03:14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17-02-2019 05:26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Athènes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cxvcxvc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fbv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130,00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216,00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