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1"/>
        <w:pBdr>
          <w:bottom w:color="000000" w:space="1" w:sz="4" w:val="single"/>
        </w:pBdr>
        <w:spacing w:after="60" w:line="264" w:lineRule="auto"/>
        <w:jc w:val="center"/>
        <w:rPr>
          <w:rFonts w:ascii="Calibri" w:cs="Calibri" w:eastAsia="Calibri" w:hAnsi="Calibri"/>
          <w:smallCaps w:val="1"/>
          <w:sz w:val="30"/>
          <w:szCs w:val="30"/>
        </w:rPr>
      </w:pPr>
      <w:r w:rsidDel="00000000" w:rsidR="00000000" w:rsidRPr="00000000">
        <w:rPr>
          <w:rFonts w:ascii="Calibri" w:cs="Calibri" w:eastAsia="Calibri" w:hAnsi="Calibri"/>
          <w:smallCaps w:val="1"/>
          <w:sz w:val="30"/>
          <w:szCs w:val="30"/>
          <w:rtl w:val="0"/>
        </w:rPr>
        <w:t xml:space="preserve">Richard P. Gallagher, PMP®</w:t>
      </w:r>
    </w:p>
    <w:p w:rsidR="00000000" w:rsidDel="00000000" w:rsidP="00000000" w:rsidRDefault="00000000" w:rsidRPr="00000000" w14:paraId="00000002">
      <w:pPr>
        <w:widowControl w:val="1"/>
        <w:spacing w:after="40" w:line="264" w:lineRule="auto"/>
        <w:jc w:val="center"/>
        <w:rPr>
          <w:rFonts w:ascii="Calibri" w:cs="Calibri" w:eastAsia="Calibri" w:hAnsi="Calibri"/>
          <w:smallCaps w:val="1"/>
          <w:sz w:val="22"/>
          <w:szCs w:val="22"/>
        </w:rPr>
      </w:pPr>
      <w:r w:rsidDel="00000000" w:rsidR="00000000" w:rsidRPr="00000000">
        <w:rPr>
          <w:rFonts w:ascii="Calibri" w:cs="Calibri" w:eastAsia="Calibri" w:hAnsi="Calibri"/>
          <w:smallCaps w:val="1"/>
          <w:sz w:val="22"/>
          <w:szCs w:val="22"/>
          <w:rtl w:val="0"/>
        </w:rPr>
        <w:t xml:space="preserve">Reading, MA 01867</w:t>
      </w:r>
    </w:p>
    <w:p w:rsidR="00000000" w:rsidDel="00000000" w:rsidP="00000000" w:rsidRDefault="00000000" w:rsidRPr="00000000" w14:paraId="00000003">
      <w:pPr>
        <w:widowControl w:val="1"/>
        <w:spacing w:line="264" w:lineRule="auto"/>
        <w:jc w:val="center"/>
        <w:rPr>
          <w:rFonts w:ascii="Calibri" w:cs="Calibri" w:eastAsia="Calibri" w:hAnsi="Calibri"/>
          <w:sz w:val="22"/>
          <w:szCs w:val="22"/>
        </w:rPr>
      </w:pPr>
      <w:r w:rsidDel="00000000" w:rsidR="00000000" w:rsidRPr="00000000">
        <w:rPr>
          <w:rFonts w:ascii="Calibri" w:cs="Calibri" w:eastAsia="Calibri" w:hAnsi="Calibri"/>
          <w:smallCaps w:val="1"/>
          <w:sz w:val="22"/>
          <w:szCs w:val="22"/>
          <w:rtl w:val="0"/>
        </w:rPr>
        <w:t xml:space="preserve">1+(781)-439-1282 | </w:t>
      </w:r>
      <w:hyperlink r:id="rId6">
        <w:r w:rsidDel="00000000" w:rsidR="00000000" w:rsidRPr="00000000">
          <w:rPr>
            <w:rFonts w:ascii="Calibri" w:cs="Calibri" w:eastAsia="Calibri" w:hAnsi="Calibri"/>
            <w:color w:val="000000"/>
            <w:sz w:val="22"/>
            <w:szCs w:val="22"/>
            <w:u w:val="none"/>
            <w:rtl w:val="0"/>
          </w:rPr>
          <w:t xml:space="preserve">gallagherr974@gmail.com</w:t>
        </w:r>
      </w:hyperlink>
      <w:r w:rsidDel="00000000" w:rsidR="00000000" w:rsidRPr="00000000">
        <w:rPr>
          <w:rFonts w:ascii="Calibri" w:cs="Calibri" w:eastAsia="Calibri" w:hAnsi="Calibri"/>
          <w:sz w:val="22"/>
          <w:szCs w:val="22"/>
          <w:rtl w:val="0"/>
        </w:rPr>
        <w:t xml:space="preserve"> </w:t>
      </w:r>
      <w:r w:rsidDel="00000000" w:rsidR="00000000" w:rsidRPr="00000000">
        <w:rPr>
          <w:rFonts w:ascii="Arial Narrow" w:cs="Arial Narrow" w:eastAsia="Arial Narrow" w:hAnsi="Arial Narrow"/>
          <w:sz w:val="22"/>
          <w:szCs w:val="22"/>
          <w:rtl w:val="0"/>
        </w:rPr>
        <w:t xml:space="preserve">l</w:t>
      </w:r>
      <w:r w:rsidDel="00000000" w:rsidR="00000000" w:rsidRPr="00000000">
        <w:rPr>
          <w:rFonts w:ascii="Calibri" w:cs="Calibri" w:eastAsia="Calibri" w:hAnsi="Calibri"/>
          <w:sz w:val="22"/>
          <w:szCs w:val="22"/>
          <w:rtl w:val="0"/>
        </w:rPr>
        <w:t xml:space="preserve"> </w:t>
      </w:r>
      <w:hyperlink r:id="rId7">
        <w:r w:rsidDel="00000000" w:rsidR="00000000" w:rsidRPr="00000000">
          <w:rPr>
            <w:rFonts w:ascii="Calibri" w:cs="Calibri" w:eastAsia="Calibri" w:hAnsi="Calibri"/>
            <w:color w:val="000000"/>
            <w:sz w:val="22"/>
            <w:szCs w:val="22"/>
            <w:u w:val="none"/>
            <w:rtl w:val="0"/>
          </w:rPr>
          <w:t xml:space="preserve">www.linkedin.com/in/richardpgallagher/</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4">
      <w:pPr>
        <w:widowControl w:val="1"/>
        <w:spacing w:after="240" w:before="240" w:lineRule="auto"/>
        <w:jc w:val="center"/>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Summary</w:t>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Accomplished, results-oriented senior IT leader with significant progressive financial services experience spanning software development, program management, strategic business transformation, application resiliency and process improvement.  Motivated by challenges, knowledge sharing and innovation discoveries. Effective at setting vision, leading teams, prioritizing objectives and providing project visibility.</w:t>
      </w:r>
    </w:p>
    <w:p w:rsidR="00000000" w:rsidDel="00000000" w:rsidP="00000000" w:rsidRDefault="00000000" w:rsidRPr="00000000" w14:paraId="00000006">
      <w:pPr>
        <w:widowControl w:val="1"/>
        <w:spacing w:after="240" w:before="240" w:lineRule="auto"/>
        <w:jc w:val="center"/>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Professional Experience</w:t>
      </w:r>
    </w:p>
    <w:p w:rsidR="00000000" w:rsidDel="00000000" w:rsidP="00000000" w:rsidRDefault="00000000" w:rsidRPr="00000000" w14:paraId="00000007">
      <w:pPr>
        <w:tabs>
          <w:tab w:val="right" w:pos="10800"/>
        </w:tabs>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STATE STREET BANK AND TRUST CO</w:t>
      </w:r>
      <w:r w:rsidDel="00000000" w:rsidR="00000000" w:rsidRPr="00000000">
        <w:rPr>
          <w:rFonts w:ascii="Calibri" w:cs="Calibri" w:eastAsia="Calibri" w:hAnsi="Calibri"/>
          <w:sz w:val="22"/>
          <w:szCs w:val="22"/>
          <w:rtl w:val="0"/>
        </w:rPr>
        <w:t xml:space="preserve">., North Quincy, MA</w:t>
        <w:tab/>
        <w:t xml:space="preserve">2007 – 2020</w:t>
      </w:r>
    </w:p>
    <w:p w:rsidR="00000000" w:rsidDel="00000000" w:rsidP="00000000" w:rsidRDefault="00000000" w:rsidRPr="00000000" w14:paraId="00000008">
      <w:pPr>
        <w:spacing w:after="120" w:before="12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Application Developer Senior Manager, VP</w:t>
      </w:r>
    </w:p>
    <w:p w:rsidR="00000000" w:rsidDel="00000000" w:rsidP="00000000" w:rsidRDefault="00000000" w:rsidRPr="00000000" w14:paraId="00000009">
      <w:pPr>
        <w:spacing w:after="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and managed the strategic vision of development and daily business support for critical enterprise-wide bank business lines. Drove system design, development, implementation, integration, and on-going support; leveraging agile/iterative, waterfall and swim-lane project methodologies. Hands on management of annual IT budget of $4 to $5 million (M), on average. Expertise in managing on-site, work from home, and off-shore staff.</w:t>
      </w:r>
    </w:p>
    <w:p w:rsidR="00000000" w:rsidDel="00000000" w:rsidP="00000000" w:rsidRDefault="00000000" w:rsidRPr="00000000" w14:paraId="0000000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an IT Operations Transformation effort that retired a redundant corporate action application which eliminated an expensive vendor maintenance and licensing contract saving the organization $2.65M.</w:t>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two successful bank resiliency application migrations to the private cloud reducing annual server maintenance and server costs of $125,000.</w:t>
      </w:r>
    </w:p>
    <w:p w:rsidR="00000000" w:rsidDel="00000000" w:rsidP="00000000" w:rsidRDefault="00000000" w:rsidRPr="00000000" w14:paraId="0000000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creating and submitting annual IT department technology budgets for prioritized demand management projects each year.</w:t>
      </w:r>
    </w:p>
    <w:p w:rsidR="00000000" w:rsidDel="00000000" w:rsidP="00000000" w:rsidRDefault="00000000" w:rsidRPr="00000000" w14:paraId="0000000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development experience with Corporate Action Notification, Response and Instruction processing for custody and middle office clients.</w:t>
      </w:r>
    </w:p>
    <w:p w:rsidR="00000000" w:rsidDel="00000000" w:rsidP="00000000" w:rsidRDefault="00000000" w:rsidRPr="00000000" w14:paraId="0000000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Drove development on bank business lines for stock loan/stock borrow, repo/reverse repo trade settlement for Federal Reserve Bank - Securities Transfer System link, DTCC and international settlement locations.</w:t>
      </w:r>
    </w:p>
    <w:p w:rsidR="00000000" w:rsidDel="00000000" w:rsidP="00000000" w:rsidRDefault="00000000" w:rsidRPr="00000000" w14:paraId="0000000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relationships with vendors (Li</w:t>
      </w:r>
      <w:r w:rsidDel="00000000" w:rsidR="00000000" w:rsidRPr="00000000">
        <w:rPr>
          <w:rFonts w:ascii="Calibri" w:cs="Calibri" w:eastAsia="Calibri" w:hAnsi="Calibri"/>
          <w:sz w:val="22"/>
          <w:szCs w:val="22"/>
          <w:rtl w:val="0"/>
        </w:rPr>
        <w:t xml:space="preserve">ghthouse Inc., Wipro, Maxima Consulting)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technology partners and contract providers to ensure service delivery excellence.</w:t>
      </w:r>
    </w:p>
    <w:p w:rsidR="00000000" w:rsidDel="00000000" w:rsidP="00000000" w:rsidRDefault="00000000" w:rsidRPr="00000000" w14:paraId="0000001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large project ($500k or &gt;) dashboards for process owners and senior management stakeholders to ensure project visibility and accountability as well as project “spend” rate.</w:t>
      </w:r>
    </w:p>
    <w:p w:rsidR="00000000" w:rsidDel="00000000" w:rsidP="00000000" w:rsidRDefault="00000000" w:rsidRPr="00000000" w14:paraId="00000011">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2">
      <w:pPr>
        <w:tabs>
          <w:tab w:val="right" w:pos="10800"/>
        </w:tabs>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INVESTOR’S BANK &amp; TRUST CO</w:t>
      </w:r>
      <w:r w:rsidDel="00000000" w:rsidR="00000000" w:rsidRPr="00000000">
        <w:rPr>
          <w:rFonts w:ascii="Calibri" w:cs="Calibri" w:eastAsia="Calibri" w:hAnsi="Calibri"/>
          <w:sz w:val="22"/>
          <w:szCs w:val="22"/>
          <w:rtl w:val="0"/>
        </w:rPr>
        <w:t xml:space="preserve">., Boston, MA</w:t>
        <w:tab/>
        <w:t xml:space="preserve">2001 – 2007</w:t>
      </w:r>
    </w:p>
    <w:p w:rsidR="00000000" w:rsidDel="00000000" w:rsidP="00000000" w:rsidRDefault="00000000" w:rsidRPr="00000000" w14:paraId="00000013">
      <w:pPr>
        <w:spacing w:after="120" w:before="12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Systems Director</w:t>
      </w:r>
    </w:p>
    <w:p w:rsidR="00000000" w:rsidDel="00000000" w:rsidP="00000000" w:rsidRDefault="00000000" w:rsidRPr="00000000" w14:paraId="0000001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reviewed and approved project plans and associated costs, business requirements, systems requirements, issue lists, problem resolution and other documentation requirements prior to distribution for applications under my management. Collaborated with cross functional teams for escalation and coordination of large scale initiatives as required. </w:t>
      </w:r>
    </w:p>
    <w:p w:rsidR="00000000" w:rsidDel="00000000" w:rsidP="00000000" w:rsidRDefault="00000000" w:rsidRPr="00000000" w14:paraId="0000001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recommendations to management for required project enhancements; review impact to senior management stakeholders. Escalated project development or hardware issues to senior management.</w:t>
      </w:r>
    </w:p>
    <w:p w:rsidR="00000000" w:rsidDel="00000000" w:rsidP="00000000" w:rsidRDefault="00000000" w:rsidRPr="00000000" w14:paraId="0000001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development of straight through processing trade enhancements and trade settlement life cycle.</w:t>
      </w:r>
    </w:p>
    <w:p w:rsidR="00000000" w:rsidDel="00000000" w:rsidP="00000000" w:rsidRDefault="00000000" w:rsidRPr="00000000" w14:paraId="0000001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Development manager for middle office corporate action processing, securities lending and trade settlement for domestic and international markets.</w:t>
      </w:r>
    </w:p>
    <w:p w:rsidR="00000000" w:rsidDel="00000000" w:rsidP="00000000" w:rsidRDefault="00000000" w:rsidRPr="00000000" w14:paraId="0000001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 team of 14 full-time employees - senior business analysts, senior software quality assurance analysts, senior developers and senior technical architects.  </w:t>
      </w:r>
    </w:p>
    <w:p w:rsidR="00000000" w:rsidDel="00000000" w:rsidP="00000000" w:rsidRDefault="00000000" w:rsidRPr="00000000" w14:paraId="00000019">
      <w:pPr>
        <w:tabs>
          <w:tab w:val="right" w:pos="10800"/>
        </w:tabs>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EAGLE INVESTMENT SYSTEMS, INC</w:t>
      </w:r>
      <w:r w:rsidDel="00000000" w:rsidR="00000000" w:rsidRPr="00000000">
        <w:rPr>
          <w:rFonts w:ascii="Calibri" w:cs="Calibri" w:eastAsia="Calibri" w:hAnsi="Calibri"/>
          <w:sz w:val="22"/>
          <w:szCs w:val="22"/>
          <w:rtl w:val="0"/>
        </w:rPr>
        <w:t xml:space="preserve">., Newton, MA</w:t>
        <w:tab/>
        <w:t xml:space="preserve">2000 – 2001</w:t>
      </w:r>
    </w:p>
    <w:p w:rsidR="00000000" w:rsidDel="00000000" w:rsidP="00000000" w:rsidRDefault="00000000" w:rsidRPr="00000000" w14:paraId="0000001A">
      <w:pPr>
        <w:spacing w:after="120" w:before="12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Implementation Manager</w:t>
      </w:r>
    </w:p>
    <w:p w:rsidR="00000000" w:rsidDel="00000000" w:rsidP="00000000" w:rsidRDefault="00000000" w:rsidRPr="00000000" w14:paraId="0000001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project management and implementation tasks for a portfolio investment and data warehouse package. (STAR, PACE, PACE Performance). Managed project scope, project plans and status reporting for senior management and clients.</w:t>
      </w:r>
    </w:p>
    <w:p w:rsidR="00000000" w:rsidDel="00000000" w:rsidP="00000000" w:rsidRDefault="00000000" w:rsidRPr="00000000" w14:paraId="0000001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requirement gathering sessions and reviewed functional specification documentation.</w:t>
      </w:r>
    </w:p>
    <w:p w:rsidR="00000000" w:rsidDel="00000000" w:rsidP="00000000" w:rsidRDefault="00000000" w:rsidRPr="00000000" w14:paraId="0000001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project staffing and testing efforts.</w:t>
      </w:r>
    </w:p>
    <w:p w:rsidR="00000000" w:rsidDel="00000000" w:rsidP="00000000" w:rsidRDefault="00000000" w:rsidRPr="00000000" w14:paraId="0000001E">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F">
      <w:pPr>
        <w:tabs>
          <w:tab w:val="right" w:pos="10800"/>
        </w:tabs>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SUNGARD BROKERAGE SYSTEMS, INC</w:t>
      </w:r>
      <w:r w:rsidDel="00000000" w:rsidR="00000000" w:rsidRPr="00000000">
        <w:rPr>
          <w:rFonts w:ascii="Calibri" w:cs="Calibri" w:eastAsia="Calibri" w:hAnsi="Calibri"/>
          <w:sz w:val="22"/>
          <w:szCs w:val="22"/>
          <w:rtl w:val="0"/>
        </w:rPr>
        <w:t xml:space="preserve">., Bedford, MA</w:t>
        <w:tab/>
        <w:t xml:space="preserve">1989 – 2000</w:t>
      </w:r>
    </w:p>
    <w:p w:rsidR="00000000" w:rsidDel="00000000" w:rsidP="00000000" w:rsidRDefault="00000000" w:rsidRPr="00000000" w14:paraId="00000020">
      <w:pPr>
        <w:spacing w:after="120" w:before="12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Director – Professional Services</w:t>
      </w:r>
    </w:p>
    <w:p w:rsidR="00000000" w:rsidDel="00000000" w:rsidP="00000000" w:rsidRDefault="00000000" w:rsidRPr="00000000" w14:paraId="0000002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Development contact for a client base of 20 active banks and brokerage firms. Managed a staff of six developers, three account managers and four business analysts with a monthly billing quota of $325,000. Responsible for training account managers for on-site client business roles.</w:t>
      </w:r>
    </w:p>
    <w:p w:rsidR="00000000" w:rsidDel="00000000" w:rsidP="00000000" w:rsidRDefault="00000000" w:rsidRPr="00000000" w14:paraId="0000002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conducting joint client needs/assessments summits to determine appropriate technology solutions.</w:t>
      </w:r>
    </w:p>
    <w:p w:rsidR="00000000" w:rsidDel="00000000" w:rsidP="00000000" w:rsidRDefault="00000000" w:rsidRPr="00000000" w14:paraId="0000002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Scheduled resources to complete client deliverables and managed client expectations throughout the entire project life cycle.</w:t>
      </w:r>
    </w:p>
    <w:p w:rsidR="00000000" w:rsidDel="00000000" w:rsidP="00000000" w:rsidRDefault="00000000" w:rsidRPr="00000000" w14:paraId="00000024">
      <w:pPr>
        <w:widowControl w:val="1"/>
        <w:spacing w:after="240" w:before="240" w:lineRule="auto"/>
        <w:jc w:val="center"/>
        <w:rPr>
          <w:rFonts w:ascii="Calibri" w:cs="Calibri" w:eastAsia="Calibri" w:hAnsi="Calibri"/>
          <w:b w:val="1"/>
          <w:smallCaps w:val="1"/>
          <w:sz w:val="24"/>
          <w:szCs w:val="24"/>
        </w:rPr>
      </w:pPr>
      <w:r w:rsidDel="00000000" w:rsidR="00000000" w:rsidRPr="00000000">
        <w:rPr>
          <w:rFonts w:ascii="Calibri" w:cs="Calibri" w:eastAsia="Calibri" w:hAnsi="Calibri"/>
          <w:b w:val="1"/>
          <w:smallCaps w:val="1"/>
          <w:sz w:val="24"/>
          <w:szCs w:val="24"/>
          <w:rtl w:val="0"/>
        </w:rPr>
        <w:t xml:space="preserve">Education and Professional Development</w:t>
      </w:r>
    </w:p>
    <w:p w:rsidR="00000000" w:rsidDel="00000000" w:rsidP="00000000" w:rsidRDefault="00000000" w:rsidRPr="00000000" w14:paraId="00000025">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MONTCLAIR STATE UNIVERSITY</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Bachelor of Arts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History with a minor in Economics.</w:t>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STATE STREET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Yearly training and recertification for Know Your Customer, Patriot Act, Your Unconscious Biases, Workplace Harassment, Protect the Bank, Gifts and Gratuities, and other mandatory classes. </w:t>
      </w:r>
    </w:p>
    <w:sectPr>
      <w:headerReference r:id="rId8" w:type="default"/>
      <w:headerReference r:id="rId9" w:type="first"/>
      <w:headerReference r:id="rId10" w:type="even"/>
      <w:footerReference r:id="rId11" w:type="default"/>
      <w:footerReference r:id="rId12" w:type="first"/>
      <w:footerReference r:id="rId13" w:type="even"/>
      <w:pgSz w:h="15840" w:w="12240"/>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Calibri"/>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widowControl w:val="1"/>
      <w:pBdr>
        <w:bottom w:color="000000" w:space="1" w:sz="4" w:val="single"/>
      </w:pBdr>
      <w:tabs>
        <w:tab w:val="right" w:pos="1080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Richard P. Gallagher</w:t>
      <w:tab/>
      <w:t xml:space="preserve">Page 2</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widowControl w:val="1"/>
      <w:pBdr>
        <w:bottom w:color="000000" w:space="1" w:sz="4" w:val="single"/>
      </w:pBdr>
      <w:tabs>
        <w:tab w:val="right" w:pos="9900"/>
      </w:tabs>
      <w:rPr>
        <w:sz w:val="22"/>
        <w:szCs w:val="22"/>
      </w:rPr>
    </w:pPr>
    <w:r w:rsidDel="00000000" w:rsidR="00000000" w:rsidRPr="00000000">
      <w:rPr>
        <w:sz w:val="22"/>
        <w:szCs w:val="22"/>
        <w:rtl w:val="0"/>
      </w:rPr>
      <w:t xml:space="preserve">Richard P. Gallagher</w:t>
      <w:tab/>
      <w:t xml:space="preserve">Page 2</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pPr>
    <w:rPr>
      <w:b w:val="1"/>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widowControl w:val="1"/>
      <w:jc w:val="center"/>
    </w:pPr>
    <w:rPr>
      <w:rFonts w:ascii="Times New Roman" w:cs="Times New Roman" w:eastAsia="Times New Roman" w:hAnsi="Times New Roman"/>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gallagherr974@gmail.com" TargetMode="External"/><Relationship Id="rId7" Type="http://schemas.openxmlformats.org/officeDocument/2006/relationships/hyperlink" Target="http://www.linkedin.com/in/richardpgallaghe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