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D4349" w14:textId="6C087CEA" w:rsidR="001A397D" w:rsidRPr="001A397D" w:rsidRDefault="001A397D" w:rsidP="001A397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7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Statistical Models for Tropical Cyclone Prediction in the North Atlantic Ocean through Geographic Sub-Basin Identification</w:t>
      </w:r>
    </w:p>
    <w:p w14:paraId="14C5BE47" w14:textId="79ECED41" w:rsidR="00C24894" w:rsidRPr="0073757E" w:rsidRDefault="001A397D" w:rsidP="0073757E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The number and character of North Atlantic Ocean tropical cyclones (TCs) </w:t>
      </w:r>
      <w:r w:rsidR="005E09D5"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>var</w:t>
      </w:r>
      <w:r w:rsidR="00255903">
        <w:rPr>
          <w:rFonts w:ascii="Aptos" w:eastAsia="Times New Roman" w:hAnsi="Aptos" w:cs="Times New Roman"/>
          <w:color w:val="000000"/>
          <w:kern w:val="0"/>
          <w14:ligatures w14:val="none"/>
        </w:rPr>
        <w:t>y</w:t>
      </w:r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significantly each year, driven in part by the relative favorability of large-scale environmental conditions. However, because of a limited historical record, the strength of this response across geographic regions within the Atlantic basin is not well understood. Here we develop geographic sub-basins within the North Atlantic by performing a cluster analysis for key TC genesis factors such as sea surface temperature (SST)</w:t>
      </w:r>
      <w:r w:rsidR="00894DD5">
        <w:rPr>
          <w:rFonts w:ascii="Aptos" w:eastAsia="Times New Roman" w:hAnsi="Aptos" w:cs="Times New Roman"/>
          <w:color w:val="000000"/>
          <w:kern w:val="0"/>
          <w14:ligatures w14:val="none"/>
        </w:rPr>
        <w:t>,</w:t>
      </w:r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genesis potential index (GPI)</w:t>
      </w:r>
      <w:r w:rsidR="00894DD5">
        <w:rPr>
          <w:rFonts w:ascii="Aptos" w:eastAsia="Times New Roman" w:hAnsi="Aptos" w:cs="Times New Roman"/>
          <w:color w:val="000000"/>
          <w:kern w:val="0"/>
          <w14:ligatures w14:val="none"/>
        </w:rPr>
        <w:t>, and vertical wind shear</w:t>
      </w:r>
      <w:r w:rsidR="0073757E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and manually adjusting boundaries to capture gradients in TC origin location and density. For each sub-basin, a regression model is developed </w:t>
      </w:r>
      <w:proofErr w:type="gramStart"/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>in order to</w:t>
      </w:r>
      <w:proofErr w:type="gramEnd"/>
      <w:r w:rsidRPr="001A397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evaluate the importance of variables that contribute to TC genesis and sustainability in comparison to other sub-basins. These models estimate frequency, lifespan, and intensity of TCs in a specific sub-basin, as well as evaluate their response to key oceanic modes of variability. Statistical testing is performed to determine the significance of each predictor within a sub-basin and the distinctiveness across sub-basins. From this set of statistical models, we can evaluate how commonly used thresholds for TC development (SST, GPI, shear) vary in magnitude and importance across sub-basins. Overall, this approach allows us to better organize and categorize tropical cyclones and better tease apart the factors that drive their emergence and evolution in this region.</w:t>
      </w:r>
    </w:p>
    <w:sectPr w:rsidR="00C24894" w:rsidRPr="00737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7D"/>
    <w:rsid w:val="000271F3"/>
    <w:rsid w:val="001A397D"/>
    <w:rsid w:val="00221CF8"/>
    <w:rsid w:val="00255903"/>
    <w:rsid w:val="00375AF2"/>
    <w:rsid w:val="005E09D5"/>
    <w:rsid w:val="0073757E"/>
    <w:rsid w:val="008465CE"/>
    <w:rsid w:val="00894DD5"/>
    <w:rsid w:val="0094075D"/>
    <w:rsid w:val="00950FB7"/>
    <w:rsid w:val="00C24894"/>
    <w:rsid w:val="00CF5578"/>
    <w:rsid w:val="00D2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9A1D2"/>
  <w15:chartTrackingRefBased/>
  <w15:docId w15:val="{47E1A772-82AC-734B-96F7-DE672E4F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Clancy</dc:creator>
  <cp:keywords/>
  <dc:description/>
  <cp:lastModifiedBy>Allison Clancy</cp:lastModifiedBy>
  <cp:revision>7</cp:revision>
  <dcterms:created xsi:type="dcterms:W3CDTF">2026-08-05T16:51:00Z</dcterms:created>
  <dcterms:modified xsi:type="dcterms:W3CDTF">2026-08-05T17:32:00Z</dcterms:modified>
</cp:coreProperties>
</file>