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szCs w:val="24"/>
                <w:lang w:val="en-US"/>
              </w:rPr>
            </w:pPr>
            <w:r>
              <w:rPr>
                <w:rFonts w:eastAsia="" w:eastAsiaTheme="minorEastAsia"/>
                <w:szCs w:val="24"/>
                <w:lang w:val="en-US"/>
              </w:rPr>
              <w:t>Interactive directional subsurface scattering and transport of emergent light.</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The Visual Computer</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Jeppe Revall Frisvad, Jesper Mosegaard, and J. Andreas Bærentzen.</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drawing>
                <wp:anchor behindDoc="0" distT="0" distB="0" distL="0" distR="0" simplePos="0" locked="0" layoutInCell="1" allowOverlap="1" relativeHeight="3">
                  <wp:simplePos x="0" y="0"/>
                  <wp:positionH relativeFrom="column">
                    <wp:posOffset>1754505</wp:posOffset>
                  </wp:positionH>
                  <wp:positionV relativeFrom="paragraph">
                    <wp:posOffset>6985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w:t>
            </w:r>
            <w:r>
              <w:rPr>
                <w:rFonts w:eastAsia="" w:eastAsiaTheme="minorEastAsia"/>
                <w:b w:val="false"/>
                <w:bCs w:val="false"/>
                <w:szCs w:val="24"/>
                <w:lang w:val="en-US"/>
              </w:rPr>
              <w:t>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0"/>
                    </w:numPr>
                    <w:spacing w:lineRule="auto" w:line="240" w:before="0" w:after="0"/>
                    <w:ind w:left="720" w:hanging="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General idea, formulation of the rendering technique</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Implemented rendering engine, plus result generation code.</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Implemented various techniques and extensions to the original BSSRDF.</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in writing original draft</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various iterations of writing</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3</Pages>
  <Words>476</Words>
  <Characters>2799</Characters>
  <CharactersWithSpaces>3237</CharactersWithSpaces>
  <Paragraphs>43</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2018-02-05T17:37:23Z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