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3" w:type="dxa"/>
        <w:tblCellMar>
          <w:top w:w="0" w:type="dxa"/>
          <w:left w:w="108"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szCs w:val="24"/>
                <w:lang w:val="en-US"/>
              </w:rPr>
            </w:pPr>
            <w:r>
              <w:rPr>
                <w:rFonts w:eastAsia="" w:eastAsiaTheme="minorEastAsia"/>
                <w:szCs w:val="24"/>
                <w:lang w:val="en-US"/>
              </w:rPr>
              <w:t>Interactive directional subsurface scattering and transport of emergent light.</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The Visual Computer</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Alessandro Dal Corso, Jeppe Revall Frisvad, Jesper Mosegaard, and J. Andreas Bærentzen.</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drawing>
                <wp:anchor behindDoc="1" distT="0" distB="0" distL="0" distR="0" simplePos="0" locked="0" layoutInCell="1" allowOverlap="1" relativeHeight="6">
                  <wp:simplePos x="0" y="0"/>
                  <wp:positionH relativeFrom="column">
                    <wp:posOffset>1754505</wp:posOffset>
                  </wp:positionH>
                  <wp:positionV relativeFrom="paragraph">
                    <wp:posOffset>6985</wp:posOffset>
                  </wp:positionV>
                  <wp:extent cx="1834515" cy="9709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8"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103" w:type="dxa"/>
                <w:bottom w:w="0" w:type="dxa"/>
                <w:right w:w="108" w:type="dxa"/>
              </w:tblCellMar>
              <w:tblLook w:val="04a0" w:noVBand="1" w:noHBand="0" w:lastColumn="0" w:firstColumn="1" w:lastRow="0" w:firstRow="1"/>
            </w:tblPr>
            <w:tblGrid>
              <w:gridCol w:w="3261"/>
              <w:gridCol w:w="4019"/>
              <w:gridCol w:w="3636"/>
            </w:tblGrid>
            <w:tr>
              <w:trPr/>
              <w:tc>
                <w:tcPr>
                  <w:tcW w:w="3261" w:type="dxa"/>
                  <w:tcBorders/>
                  <w:shd w:fill="auto" w:val="clear"/>
                  <w:tcMar>
                    <w:left w:w="103"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6"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1" w:type="dx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8"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10949" w:type="dxa"/>
              <w:jc w:val="left"/>
              <w:tblInd w:w="0" w:type="dxa"/>
              <w:tblCellMar>
                <w:top w:w="0" w:type="dxa"/>
                <w:left w:w="103"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09"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w:t>
          </w:r>
          <w:r>
            <w:rPr>
              <w:rFonts w:cs="Arial" w:ascii="Arial" w:hAnsi="Arial"/>
              <w:color w:val="808080"/>
              <w:sz w:val="20"/>
              <w:szCs w:val="16"/>
            </w:rPr>
            <w:t xml:space="preserve"> 201</w:t>
          </w:r>
          <w:r>
            <w:rPr>
              <w:rFonts w:cs="Arial" w:ascii="Arial" w:hAnsi="Arial"/>
              <w:color w:val="808080"/>
              <w:sz w:val="20"/>
              <w:szCs w:val="16"/>
            </w:rPr>
            <w:t>8</w:t>
          </w:r>
          <w:r>
            <w:rPr>
              <w:rFonts w:cs="Arial" w:ascii="Arial" w:hAnsi="Arial"/>
              <w:color w:val="808080"/>
              <w:sz w:val="20"/>
              <w:szCs w:val="16"/>
            </w:rPr>
            <w:t xml:space="preserve"> | page</w:t>
          </w:r>
          <w:r>
            <w:rPr>
              <w:rFonts w:cs="Arial" w:ascii="Arial" w:hAnsi="Arial"/>
              <w:sz w:val="20"/>
              <w:szCs w:val="22"/>
            </w:rPr>
            <w:t xml:space="preserve"> </w:t>
          </w:r>
          <w:r>
            <w:rPr>
              <w:rFonts w:cs="Arial" w:ascii="Arial" w:hAnsi="Arial"/>
              <w:color w:val="808080"/>
              <w:sz w:val="20"/>
              <w:szCs w:val="16"/>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eastAsia="" w:eastAsiaTheme="minorEastAsia" w:ascii="Calibri" w:hAnsi="Calibri" w:cs=""/>
      <w:color w:val="auto"/>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3</Pages>
  <Words>436</Words>
  <Characters>2562</Characters>
  <CharactersWithSpaces>2971</CharactersWithSpaces>
  <Paragraphs>37</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2018-02-05T14:34:58Z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