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3" w:type="dxa"/>
        <w:tblCellMar>
          <w:top w:w="0" w:type="dxa"/>
          <w:left w:w="108"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Interactive Appearance Prediction for Cloudy Beverages.</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In Proceedings of Workshop on Material Appearance Modeling. The Eurographics Association, 2016.</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Alessandro Dal Corso, Jeppe Revall Frisvad, Thomas Kim Kjeldsen, and Jakob Andreas Bærentzen.</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drawing>
                <wp:anchor behindDoc="1" distT="0" distB="0" distL="0" distR="0" simplePos="0" locked="0" layoutInCell="1" allowOverlap="1" relativeHeight="6">
                  <wp:simplePos x="0" y="0"/>
                  <wp:positionH relativeFrom="column">
                    <wp:posOffset>1754505</wp:posOffset>
                  </wp:positionH>
                  <wp:positionV relativeFrom="paragraph">
                    <wp:posOffset>6985</wp:posOffset>
                  </wp:positionV>
                  <wp:extent cx="1834515" cy="9709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8"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103" w:type="dxa"/>
                <w:bottom w:w="0" w:type="dxa"/>
                <w:right w:w="108" w:type="dxa"/>
              </w:tblCellMar>
              <w:tblLook w:val="04a0" w:noVBand="1" w:noHBand="0" w:lastColumn="0" w:firstColumn="1" w:lastRow="0" w:firstRow="1"/>
            </w:tblPr>
            <w:tblGrid>
              <w:gridCol w:w="3261"/>
              <w:gridCol w:w="4019"/>
              <w:gridCol w:w="3636"/>
            </w:tblGrid>
            <w:tr>
              <w:trPr/>
              <w:tc>
                <w:tcPr>
                  <w:tcW w:w="3261" w:type="dxa"/>
                  <w:tcBorders/>
                  <w:shd w:fill="auto" w:val="clear"/>
                  <w:tcMar>
                    <w:left w:w="103"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6"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1" w:type="dx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8"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10949" w:type="dxa"/>
              <w:jc w:val="left"/>
              <w:tblInd w:w="0" w:type="dxa"/>
              <w:tblCellMar>
                <w:top w:w="0" w:type="dxa"/>
                <w:left w:w="103"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09"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w:t>
          </w:r>
          <w:r>
            <w:rPr>
              <w:rFonts w:cs="Arial" w:ascii="Arial" w:hAnsi="Arial"/>
              <w:color w:val="808080"/>
              <w:sz w:val="20"/>
              <w:szCs w:val="16"/>
            </w:rPr>
            <w:t xml:space="preserve"> 201</w:t>
          </w:r>
          <w:r>
            <w:rPr>
              <w:rFonts w:cs="Arial" w:ascii="Arial" w:hAnsi="Arial"/>
              <w:color w:val="808080"/>
              <w:sz w:val="20"/>
              <w:szCs w:val="16"/>
            </w:rPr>
            <w:t>8</w:t>
          </w:r>
          <w:r>
            <w:rPr>
              <w:rFonts w:cs="Arial" w:ascii="Arial" w:hAnsi="Arial"/>
              <w:color w:val="808080"/>
              <w:sz w:val="20"/>
              <w:szCs w:val="16"/>
            </w:rPr>
            <w:t xml:space="preserve"> | page</w:t>
          </w:r>
          <w:r>
            <w:rPr>
              <w:rFonts w:cs="Arial" w:ascii="Arial" w:hAnsi="Arial"/>
              <w:sz w:val="20"/>
              <w:szCs w:val="22"/>
            </w:rPr>
            <w:t xml:space="preserve"> </w:t>
          </w:r>
          <w:r>
            <w:rPr>
              <w:rFonts w:cs="Arial" w:ascii="Arial" w:hAnsi="Arial"/>
              <w:color w:val="808080"/>
              <w:sz w:val="20"/>
              <w:szCs w:val="16"/>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eastAsia="" w:eastAsiaTheme="minorEastAsia" w:ascii="Calibri" w:hAnsi="Calibri" w:cs=""/>
      <w:color w:val="auto"/>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LibreOffice/5.1.6.2$Linux_X86_64 LibreOffice_project/10m0$Build-2</Application>
  <Pages>3</Pages>
  <Words>443</Words>
  <Characters>2614</Characters>
  <CharactersWithSpaces>3030</CharactersWithSpaces>
  <Paragraphs>37</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2018-02-05T14:43:26Z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