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8" w:type="dxa"/>
        <w:tblCellMar>
          <w:top w:w="0" w:type="dxa"/>
          <w:left w:w="103"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drawing>
                <wp:anchor behindDoc="0" distT="0" distB="0" distL="0" distR="0" simplePos="0" locked="0" layoutInCell="1" allowOverlap="1" relativeHeight="5">
                  <wp:simplePos x="0" y="0"/>
                  <wp:positionH relativeFrom="column">
                    <wp:posOffset>1990725</wp:posOffset>
                  </wp:positionH>
                  <wp:positionV relativeFrom="paragraph">
                    <wp:posOffset>3292475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drawing>
                <wp:anchor behindDoc="0" distT="0" distB="0" distL="0" distR="0" simplePos="0" locked="0" layoutInCell="1" allowOverlap="1" relativeHeight="6">
                  <wp:simplePos x="0" y="0"/>
                  <wp:positionH relativeFrom="column">
                    <wp:posOffset>1990725</wp:posOffset>
                  </wp:positionH>
                  <wp:positionV relativeFrom="paragraph">
                    <wp:posOffset>3292475</wp:posOffset>
                  </wp:positionV>
                  <wp:extent cx="1834515" cy="97091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34515" cy="970915"/>
                          </a:xfrm>
                          <a:prstGeom prst="rect">
                            <a:avLst/>
                          </a:prstGeom>
                        </pic:spPr>
                      </pic:pic>
                    </a:graphicData>
                  </a:graphic>
                </wp:anchor>
              </w:drawing>
            </w:r>
            <w:r>
              <w:rPr>
                <w:rFonts w:eastAsia="" w:eastAsiaTheme="minorEastAsia"/>
                <w:b/>
                <w:szCs w:val="24"/>
                <w:lang w:val="en-US"/>
              </w:rPr>
              <w:t>Title of article</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szCs w:val="24"/>
                <w:lang w:val="en-US"/>
              </w:rPr>
            </w:pPr>
            <w:r>
              <w:rPr>
                <w:rFonts w:eastAsia="" w:eastAsiaTheme="minorEastAsia"/>
                <w:szCs w:val="24"/>
                <w:lang w:val="en-US"/>
              </w:rPr>
              <w:t>Scene reassembly after multimodal digitization and pipeline evaluation using photorealistic rendering.</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Applied Optics</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Jonathan Dyssel Stets, Alessandro Dal Corso, Jannik Boll Nielsen, Rasmus Ahrenkiel Lyngby, Sebastian Hoppe Nesgaard Jensen, Jakob Wilm, Mads Brix Doest, Carsten Gundlach, Eythor Runar Eiriksson, Knut Conradsen, Anders Bjorholm Dahl, Jakob Andreas Bærentzen, Jeppe Revall Frisvad, and Henrik Aanæs</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8" w:type="dxa"/>
                <w:bottom w:w="0" w:type="dxa"/>
                <w:right w:w="108" w:type="dxa"/>
              </w:tblCellMar>
              <w:tblLook w:val="04a0" w:noVBand="1" w:noHBand="0" w:lastColumn="0" w:firstColumn="1" w:lastRow="0" w:firstRow="1"/>
            </w:tblPr>
            <w:tblGrid>
              <w:gridCol w:w="3260"/>
              <w:gridCol w:w="4019"/>
              <w:gridCol w:w="3637"/>
            </w:tblGrid>
            <w:tr>
              <w:trPr/>
              <w:tc>
                <w:tcPr>
                  <w:tcW w:w="3260" w:type="dxa"/>
                  <w:tcBorders/>
                  <w:shd w:fill="auto" w:val="clear"/>
                  <w:tcMar>
                    <w:left w:w="98"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0" w:type="dx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to the original idea</w:t>
                  </w:r>
                </w:p>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with knowledge about various applicable techniques, esp. in color calibration, mesh reconstruction and rendering.</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Implemented code for volumetric reconstruction, color calibration, environment map unwrapping, mesh deformation, plus the rendering framework.</w:t>
                  </w:r>
                </w:p>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Implemented part of the processing pipeline, plus code to perform experiments and generate results.</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 xml:space="preserve">Contributed to the initial draft in the relevant parts mentioned above. </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to various iterations of the writing.</w:t>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3"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Style w:val="TableGrid"/>
              <w:tblW w:w="10949" w:type="dxa"/>
              <w:jc w:val="left"/>
              <w:tblInd w:w="0" w:type="dxa"/>
              <w:tblCellMar>
                <w:top w:w="0" w:type="dxa"/>
                <w:left w:w="98"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4"/>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1</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3"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3</Pages>
  <Words>539</Words>
  <Characters>3223</Characters>
  <CharactersWithSpaces>3724</CharactersWithSpaces>
  <Paragraphs>43</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2018-02-05T17:33:40Z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