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sz w:val="36"/>
        </w:rPr>
        <w:t>2026 年"挑战杯"吉林省大学生创业计划竞赛</w:t>
      </w:r>
    </w:p>
    <w:p>
      <w:pPr>
        <w:jc w:val="center"/>
      </w:pPr>
      <w:r>
        <w:rPr>
          <w:rFonts w:ascii="Times New Roman" w:hAnsi="Times New Roman" w:eastAsia="黑体"/>
          <w:sz w:val="44"/>
        </w:rPr>
        <w:t>通用小型静电高压发生器及控制系统</w:t>
      </w:r>
    </w:p>
    <w:p>
      <w:pPr>
        <w:jc w:val="center"/>
      </w:pPr>
      <w:r>
        <w:rPr>
          <w:rFonts w:ascii="Times New Roman" w:hAnsi="Times New Roman" w:eastAsia="宋体"/>
          <w:sz w:val="28"/>
        </w:rPr>
        <w:t>公司名称：吉科核源科技有限公司</w:t>
      </w:r>
    </w:p>
    <w:p>
      <w:pPr>
        <w:jc w:val="center"/>
      </w:pPr>
      <w:r>
        <w:rPr>
          <w:rFonts w:ascii="Times New Roman" w:hAnsi="Times New Roman" w:eastAsia="宋体"/>
          <w:sz w:val="28"/>
        </w:rPr>
        <w:t>项目组别 / 赛道：先进制造（智能制造）</w:t>
      </w:r>
    </w:p>
    <w:p>
      <w:pPr>
        <w:jc w:val="center"/>
      </w:pPr>
      <w:r>
        <w:rPr>
          <w:rFonts w:ascii="Times New Roman" w:hAnsi="Times New Roman" w:eastAsia="宋体"/>
          <w:sz w:val="28"/>
        </w:rPr>
        <w:t>项目负责人：刘海远  电话：18052297885</w:t>
      </w:r>
    </w:p>
    <w:p>
      <w:pPr>
        <w:jc w:val="center"/>
      </w:pPr>
      <w:r>
        <w:rPr>
          <w:rFonts w:ascii="Times New Roman" w:hAnsi="Times New Roman" w:eastAsia="宋体"/>
          <w:sz w:val="28"/>
        </w:rPr>
        <w:t>指导教师：（正高级实验师）</w:t>
      </w:r>
    </w:p>
    <w:p>
      <w:pPr>
        <w:jc w:val="center"/>
      </w:pPr>
      <w:r>
        <w:rPr>
          <w:rFonts w:ascii="Times New Roman" w:hAnsi="Times New Roman" w:eastAsia="宋体"/>
          <w:sz w:val="28"/>
        </w:rPr>
        <w:t>提交日期：2026 年</w:t>
      </w:r>
    </w:p>
    <w:p>
      <w:r>
        <w:br w:type="page"/>
      </w:r>
    </w:p>
    <w:p>
      <w:pPr>
        <w:spacing w:line="560" w:lineRule="exact" w:before="0" w:after="0"/>
        <w:jc w:val="left"/>
      </w:pPr>
      <w:r>
        <w:rPr>
          <w:rFonts w:ascii="Times New Roman" w:hAnsi="Times New Roman" w:eastAsia="黑体"/>
          <w:b w:val="0"/>
          <w:sz w:val="32"/>
        </w:rPr>
        <w:t>一、执行摘要</w:t>
      </w:r>
    </w:p>
    <w:p>
      <w:pPr>
        <w:spacing w:line="560" w:lineRule="exact" w:before="0" w:after="0"/>
        <w:jc w:val="both"/>
      </w:pPr>
      <w:r>
        <w:rPr>
          <w:rFonts w:ascii="Times New Roman" w:hAnsi="Times New Roman" w:eastAsia="宋体"/>
          <w:sz w:val="28"/>
        </w:rPr>
        <w:t>吉科核源科技有限公司打造的"通用小型静电高压发生器及控制系统"，是国内首款"超高压（≤100 kV）+ 一般高压（≤3 kV）+ 低压大电流（20 V/2 A）"硬件三合一、软硬件深度耦合、可远程数字化控制的可控放射源核心电控国产化平台，整机重量 &lt; 15 kg，单套定价 25 万元（较国际品牌低 15%），填补国内便携式可控放射源电控系统的产品空白。</w:t>
      </w:r>
    </w:p>
    <w:p>
      <w:pPr>
        <w:spacing w:line="560" w:lineRule="exact" w:before="0" w:after="0"/>
        <w:jc w:val="both"/>
      </w:pPr>
      <w:r>
        <w:rPr>
          <w:rFonts w:ascii="Times New Roman" w:hAnsi="Times New Roman" w:eastAsia="宋体"/>
          <w:sz w:val="28"/>
        </w:rPr>
        <w:t>项目核心价值体现在三个层面：①国产替代价值——核心器件 100% 国产化，对标 Spellman、西门子、GE 高端电源；②产业升级价值——以"硬件 + 软件"一体化交付，把核应用设备从"高门槛专用器材"升级为"工业级可移动系统"；③公共安全价值——基于 RS485/Modbus 远程控制与闭环异常放电检测，毫秒级保护人身安全与设备安全。</w:t>
      </w:r>
    </w:p>
    <w:p>
      <w:pPr>
        <w:spacing w:line="560" w:lineRule="exact" w:before="0" w:after="0"/>
        <w:jc w:val="both"/>
      </w:pPr>
      <w:r>
        <w:rPr>
          <w:rFonts w:ascii="Times New Roman" w:hAnsi="Times New Roman" w:eastAsia="宋体"/>
          <w:sz w:val="28"/>
        </w:rPr>
        <w:t>据国家发展改革委公开数据，2024 年我国核应用技术创造产值约 9000 亿元；据博研咨询《2024—2030 年中国 X 射线高压发生器行业运营现状及投资发展研究报告》，国内 X 射线高压发生器市场 2023 年 120 亿元、2025 年预计 180 亿元；按 TAM/SAM/SOM 三层拆解，全球 TAM 约 65 亿美元、国内 SAM 约 130—180 亿元、可控放射源电控细分 SOM 约 25 亿元/年。5 年累计销售 710 套、累计营收 1.775 亿元，第 2 年现金流转正，投资回收期约 1.8 年，第 5 年净利润 1593.75 万元、净利率 21.25%。在申实用新型专利 2 项、软件著作权 2 项，已在东北师范大学相关实验室完成全功能实景测试，预计 2026 年 6 月交付上海计量院开展第三方样机测试与市场适应性验证。</w:t>
      </w:r>
    </w:p>
    <w:p>
      <w:pPr>
        <w:spacing w:line="560" w:lineRule="exact" w:before="0" w:after="0"/>
        <w:jc w:val="both"/>
      </w:pPr>
      <w:r>
        <w:rPr>
          <w:rFonts w:ascii="Times New Roman" w:hAnsi="Times New Roman" w:eastAsia="宋体"/>
          <w:sz w:val="28"/>
        </w:rPr>
        <w:t>商业模式由"标准化产品销售 + 按项目收费技术服务 + 长期运维与升级订阅"三层叠加，渠道以直销 + 行业代理为主。本轮拟引入风险投资 200 万元，团队技术入股 32%、投资方现金入股 68%，预留 8%—10% 期权池。团队由 4 名研究生 + 2 名本科生组成核心研发力量，正高级实验师担任指导教师，已累计获得"挑战杯"全国三等奖、吉林省二等奖、"建行杯""互联网+"省级铜奖等多项荣誉，具备从需求分析到现场部署的全流程工程化能力。</w:t>
      </w:r>
    </w:p>
    <w:p>
      <w:pPr>
        <w:spacing w:line="560" w:lineRule="exact" w:before="0" w:after="0"/>
        <w:jc w:val="left"/>
      </w:pPr>
      <w:r>
        <w:rPr>
          <w:rFonts w:ascii="Times New Roman" w:hAnsi="Times New Roman" w:eastAsia="黑体"/>
          <w:b w:val="0"/>
          <w:sz w:val="32"/>
        </w:rPr>
        <w:t>二、项目概述</w:t>
      </w:r>
    </w:p>
    <w:p>
      <w:pPr>
        <w:spacing w:line="560" w:lineRule="exact" w:before="0" w:after="0"/>
        <w:jc w:val="left"/>
      </w:pPr>
      <w:r>
        <w:rPr>
          <w:rFonts w:ascii="Times New Roman" w:hAnsi="Times New Roman" w:eastAsia="楷体"/>
          <w:sz w:val="32"/>
        </w:rPr>
        <w:t>1. 项目背景</w:t>
      </w:r>
    </w:p>
    <w:p>
      <w:pPr>
        <w:spacing w:line="560" w:lineRule="exact" w:before="0" w:after="0"/>
        <w:jc w:val="both"/>
      </w:pPr>
      <w:r>
        <w:rPr>
          <w:rFonts w:ascii="Times New Roman" w:hAnsi="Times New Roman" w:eastAsia="宋体"/>
          <w:sz w:val="28"/>
        </w:rPr>
        <w:t>国家战略与政策机遇方面，核应用技术是我国"十四五"规划重点支持的战略性新兴产业。据国家发展改革委公开数据，2024 年我国核应用技术创造产值约 9000 亿元；国务院与发展改革委先后印发《关于推动核技术应用产业高质量发展的相关指导意见》《"十四五"医疗装备产业发展规划》，明确加快高端医疗装备国产化进程、鼓励小型核应用技术的产业化与民用化。IEEE 等国际组织预测未来 30 年是核应用技术的高速发展期。</w:t>
      </w:r>
    </w:p>
    <w:p>
      <w:pPr>
        <w:spacing w:line="560" w:lineRule="exact" w:before="0" w:after="0"/>
        <w:jc w:val="both"/>
      </w:pPr>
      <w:r>
        <w:rPr>
          <w:rFonts w:ascii="Times New Roman" w:hAnsi="Times New Roman" w:eastAsia="宋体"/>
          <w:sz w:val="28"/>
        </w:rPr>
        <w:t>产业痛点与现实需求方面，下游 X 射线检测、中子活化分析、便携式医疗影像、海关安检、地质勘探、应急救援等场景，对放射源系统提出"小型化、便携化、远程可控、绿色安全"的新一代要求。然而作为可控放射源核心组成的"高压发生器及控制系统"，目前国内仍以"独立模块化"设计为主，超高压、一般高压、低压控制三路供电相互分离，整机体积庞大、集成度低、难以实现闭环安全控制。国际厂商单套售价超 30 万元、定制响应慢；国内厂商主要销售单一高压模块，缺乏整机与软件级配套。</w:t>
      </w:r>
    </w:p>
    <w:p>
      <w:pPr>
        <w:spacing w:line="560" w:lineRule="exact" w:before="0" w:after="0"/>
        <w:jc w:val="both"/>
      </w:pPr>
      <w:r>
        <w:rPr>
          <w:rFonts w:ascii="Times New Roman" w:hAnsi="Times New Roman" w:eastAsia="宋体"/>
          <w:sz w:val="28"/>
        </w:rPr>
        <w:t>项目发起契机方面，团队所在课题组长期从事核应用技术与高压电源工程化研究，承担吉林省科技厅项目《基于 3DSIFT 算法 CT 图像人体健康组织分类及配准基本方法的研究》、省级大学生创新创业训练项目《衣来伸手——便捷地穿搭选择》等课题，积累了丰富工程经验。基于"市场需求 + 技术储备 + 团队能力"三重契机，于 2024 年正式立项。</w:t>
      </w:r>
    </w:p>
    <w:p>
      <w:pPr>
        <w:spacing w:line="560" w:lineRule="exact" w:before="0" w:after="0"/>
        <w:jc w:val="left"/>
      </w:pPr>
      <w:r>
        <w:rPr>
          <w:rFonts w:ascii="Times New Roman" w:hAnsi="Times New Roman" w:eastAsia="楷体"/>
          <w:sz w:val="32"/>
        </w:rPr>
        <w:t>2. 项目概述</w:t>
      </w:r>
    </w:p>
    <w:p>
      <w:pPr>
        <w:spacing w:line="560" w:lineRule="exact" w:before="0" w:after="0"/>
        <w:jc w:val="both"/>
      </w:pPr>
      <w:r>
        <w:rPr>
          <w:rFonts w:ascii="Times New Roman" w:hAnsi="Times New Roman" w:eastAsia="宋体"/>
          <w:sz w:val="28"/>
        </w:rPr>
        <w:t>通用小型静电高压发生器及控制系统由吉科核源科技有限公司自主研发，是面向小型可控放射源的"三合一"集成电控产品。硬件部分包括直流超高压供电模块、直流高压供电模块、低压大电流供电模块、PLC 下位机控制模块以及电流电压反馈电路；软件部分基于 Windows 11 + C++/Qt 自主开发，采用 Modbus 协议通过 RS485 接口实现远距离（≥50 m，最远 1000 m）实时控制与反馈，支持电压/电流双模式调节、闭环采样、异常放电检测与一键应急切断。</w:t>
      </w:r>
    </w:p>
    <w:p>
      <w:pPr>
        <w:spacing w:line="560" w:lineRule="exact" w:before="0" w:after="0"/>
        <w:jc w:val="both"/>
      </w:pPr>
      <w:r>
        <w:rPr>
          <w:rFonts w:ascii="Times New Roman" w:hAnsi="Times New Roman" w:eastAsia="宋体"/>
          <w:sz w:val="28"/>
        </w:rPr>
        <w:t>项目自 2024 年立项以来，遵循"需求调研→架构设计→样机开发→系统集成→实验室测试→市场验证"路线持续推进，关键节点见表 2.1。</w:t>
      </w:r>
    </w:p>
    <w:p>
      <w:pPr>
        <w:spacing w:line="560" w:lineRule="exact" w:before="0" w:after="0"/>
        <w:jc w:val="center"/>
      </w:pPr>
      <w:r>
        <w:rPr>
          <w:rFonts w:ascii="Times New Roman" w:hAnsi="Times New Roman" w:eastAsia="黑体"/>
          <w:sz w:val="24"/>
        </w:rPr>
        <w:t>表2.1 项目关键里程碑</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Times New Roman" w:hAnsi="Times New Roman" w:eastAsia="宋体"/>
                <w:b/>
                <w:sz w:val="28"/>
              </w:rPr>
              <w:t>阶段</w:t>
            </w:r>
          </w:p>
        </w:tc>
        <w:tc>
          <w:tcPr>
            <w:tcW w:type="dxa" w:w="3022"/>
          </w:tcPr>
          <w:p>
            <w:pPr>
              <w:jc w:val="center"/>
            </w:pPr>
            <w:r/>
            <w:r>
              <w:rPr>
                <w:rFonts w:ascii="Times New Roman" w:hAnsi="Times New Roman" w:eastAsia="宋体"/>
                <w:b/>
                <w:sz w:val="28"/>
              </w:rPr>
              <w:t>时间</w:t>
            </w:r>
          </w:p>
        </w:tc>
        <w:tc>
          <w:tcPr>
            <w:tcW w:type="dxa" w:w="3022"/>
          </w:tcPr>
          <w:p>
            <w:pPr>
              <w:jc w:val="center"/>
            </w:pPr>
            <w:r/>
            <w:r>
              <w:rPr>
                <w:rFonts w:ascii="Times New Roman" w:hAnsi="Times New Roman" w:eastAsia="宋体"/>
                <w:b/>
                <w:sz w:val="28"/>
              </w:rPr>
              <w:t>主要成果</w:t>
            </w:r>
          </w:p>
        </w:tc>
      </w:tr>
      <w:tr>
        <w:tc>
          <w:tcPr>
            <w:tcW w:type="dxa" w:w="3022"/>
          </w:tcPr>
          <w:p>
            <w:pPr>
              <w:jc w:val="center"/>
            </w:pPr>
            <w:r/>
            <w:r>
              <w:rPr>
                <w:rFonts w:ascii="Times New Roman" w:hAnsi="Times New Roman" w:eastAsia="宋体"/>
                <w:sz w:val="28"/>
              </w:rPr>
              <w:t>立项与需求调研</w:t>
            </w:r>
          </w:p>
        </w:tc>
        <w:tc>
          <w:tcPr>
            <w:tcW w:type="dxa" w:w="3022"/>
          </w:tcPr>
          <w:p>
            <w:pPr>
              <w:jc w:val="center"/>
            </w:pPr>
            <w:r/>
            <w:r>
              <w:rPr>
                <w:rFonts w:ascii="Times New Roman" w:hAnsi="Times New Roman" w:eastAsia="宋体"/>
                <w:sz w:val="28"/>
              </w:rPr>
              <w:t>2024 Q3</w:t>
            </w:r>
          </w:p>
        </w:tc>
        <w:tc>
          <w:tcPr>
            <w:tcW w:type="dxa" w:w="3022"/>
          </w:tcPr>
          <w:p>
            <w:pPr>
              <w:jc w:val="center"/>
            </w:pPr>
            <w:r/>
            <w:r>
              <w:rPr>
                <w:rFonts w:ascii="Times New Roman" w:hAnsi="Times New Roman" w:eastAsia="宋体"/>
                <w:sz w:val="28"/>
              </w:rPr>
              <w:t>完成行业调研、技术路线确认</w:t>
            </w:r>
          </w:p>
        </w:tc>
      </w:tr>
      <w:tr>
        <w:tc>
          <w:tcPr>
            <w:tcW w:type="dxa" w:w="3022"/>
          </w:tcPr>
          <w:p>
            <w:pPr>
              <w:jc w:val="center"/>
            </w:pPr>
            <w:r/>
            <w:r>
              <w:rPr>
                <w:rFonts w:ascii="Times New Roman" w:hAnsi="Times New Roman" w:eastAsia="宋体"/>
                <w:sz w:val="28"/>
              </w:rPr>
              <w:t>架构设计与器件选型</w:t>
            </w:r>
          </w:p>
        </w:tc>
        <w:tc>
          <w:tcPr>
            <w:tcW w:type="dxa" w:w="3022"/>
          </w:tcPr>
          <w:p>
            <w:pPr>
              <w:jc w:val="center"/>
            </w:pPr>
            <w:r/>
            <w:r>
              <w:rPr>
                <w:rFonts w:ascii="Times New Roman" w:hAnsi="Times New Roman" w:eastAsia="宋体"/>
                <w:sz w:val="28"/>
              </w:rPr>
              <w:t>2024 Q4</w:t>
            </w:r>
          </w:p>
        </w:tc>
        <w:tc>
          <w:tcPr>
            <w:tcW w:type="dxa" w:w="3022"/>
          </w:tcPr>
          <w:p>
            <w:pPr>
              <w:jc w:val="center"/>
            </w:pPr>
            <w:r/>
            <w:r>
              <w:rPr>
                <w:rFonts w:ascii="Times New Roman" w:hAnsi="Times New Roman" w:eastAsia="宋体"/>
                <w:sz w:val="28"/>
              </w:rPr>
              <w:t>输出系统架构与 BOM 清单</w:t>
            </w:r>
          </w:p>
        </w:tc>
      </w:tr>
      <w:tr>
        <w:tc>
          <w:tcPr>
            <w:tcW w:type="dxa" w:w="3022"/>
          </w:tcPr>
          <w:p>
            <w:pPr>
              <w:jc w:val="center"/>
            </w:pPr>
            <w:r/>
            <w:r>
              <w:rPr>
                <w:rFonts w:ascii="Times New Roman" w:hAnsi="Times New Roman" w:eastAsia="宋体"/>
                <w:sz w:val="28"/>
              </w:rPr>
              <w:t>硬件样机研制</w:t>
            </w:r>
          </w:p>
        </w:tc>
        <w:tc>
          <w:tcPr>
            <w:tcW w:type="dxa" w:w="3022"/>
          </w:tcPr>
          <w:p>
            <w:pPr>
              <w:jc w:val="center"/>
            </w:pPr>
            <w:r/>
            <w:r>
              <w:rPr>
                <w:rFonts w:ascii="Times New Roman" w:hAnsi="Times New Roman" w:eastAsia="宋体"/>
                <w:sz w:val="28"/>
              </w:rPr>
              <w:t>2025 H1</w:t>
            </w:r>
          </w:p>
        </w:tc>
        <w:tc>
          <w:tcPr>
            <w:tcW w:type="dxa" w:w="3022"/>
          </w:tcPr>
          <w:p>
            <w:pPr>
              <w:jc w:val="center"/>
            </w:pPr>
            <w:r/>
            <w:r>
              <w:rPr>
                <w:rFonts w:ascii="Times New Roman" w:hAnsi="Times New Roman" w:eastAsia="宋体"/>
                <w:sz w:val="28"/>
              </w:rPr>
              <w:t>三路供电模块独立验证完成</w:t>
            </w:r>
          </w:p>
        </w:tc>
      </w:tr>
      <w:tr>
        <w:tc>
          <w:tcPr>
            <w:tcW w:type="dxa" w:w="3022"/>
          </w:tcPr>
          <w:p>
            <w:pPr>
              <w:jc w:val="center"/>
            </w:pPr>
            <w:r/>
            <w:r>
              <w:rPr>
                <w:rFonts w:ascii="Times New Roman" w:hAnsi="Times New Roman" w:eastAsia="宋体"/>
                <w:sz w:val="28"/>
              </w:rPr>
              <w:t>软件开发与集成</w:t>
            </w:r>
          </w:p>
        </w:tc>
        <w:tc>
          <w:tcPr>
            <w:tcW w:type="dxa" w:w="3022"/>
          </w:tcPr>
          <w:p>
            <w:pPr>
              <w:jc w:val="center"/>
            </w:pPr>
            <w:r/>
            <w:r>
              <w:rPr>
                <w:rFonts w:ascii="Times New Roman" w:hAnsi="Times New Roman" w:eastAsia="宋体"/>
                <w:sz w:val="28"/>
              </w:rPr>
              <w:t>2025 H2</w:t>
            </w:r>
          </w:p>
        </w:tc>
        <w:tc>
          <w:tcPr>
            <w:tcW w:type="dxa" w:w="3022"/>
          </w:tcPr>
          <w:p>
            <w:pPr>
              <w:jc w:val="center"/>
            </w:pPr>
            <w:r/>
            <w:r>
              <w:rPr>
                <w:rFonts w:ascii="Times New Roman" w:hAnsi="Times New Roman" w:eastAsia="宋体"/>
                <w:sz w:val="28"/>
              </w:rPr>
              <w:t>上位机 + 下位机联调通过</w:t>
            </w:r>
          </w:p>
        </w:tc>
      </w:tr>
      <w:tr>
        <w:tc>
          <w:tcPr>
            <w:tcW w:type="dxa" w:w="3022"/>
          </w:tcPr>
          <w:p>
            <w:pPr>
              <w:jc w:val="center"/>
            </w:pPr>
            <w:r/>
            <w:r>
              <w:rPr>
                <w:rFonts w:ascii="Times New Roman" w:hAnsi="Times New Roman" w:eastAsia="宋体"/>
                <w:sz w:val="28"/>
              </w:rPr>
              <w:t>实验室全功能测试</w:t>
            </w:r>
          </w:p>
        </w:tc>
        <w:tc>
          <w:tcPr>
            <w:tcW w:type="dxa" w:w="3022"/>
          </w:tcPr>
          <w:p>
            <w:pPr>
              <w:jc w:val="center"/>
            </w:pPr>
            <w:r/>
            <w:r>
              <w:rPr>
                <w:rFonts w:ascii="Times New Roman" w:hAnsi="Times New Roman" w:eastAsia="宋体"/>
                <w:sz w:val="28"/>
              </w:rPr>
              <w:t>2026 Q1</w:t>
            </w:r>
          </w:p>
        </w:tc>
        <w:tc>
          <w:tcPr>
            <w:tcW w:type="dxa" w:w="3022"/>
          </w:tcPr>
          <w:p>
            <w:pPr>
              <w:jc w:val="center"/>
            </w:pPr>
            <w:r/>
            <w:r>
              <w:rPr>
                <w:rFonts w:ascii="Times New Roman" w:hAnsi="Times New Roman" w:eastAsia="宋体"/>
                <w:sz w:val="28"/>
              </w:rPr>
              <w:t>东北师范大学实验室连续稳定运行测试</w:t>
            </w:r>
          </w:p>
        </w:tc>
      </w:tr>
      <w:tr>
        <w:tc>
          <w:tcPr>
            <w:tcW w:type="dxa" w:w="3022"/>
          </w:tcPr>
          <w:p>
            <w:pPr>
              <w:jc w:val="center"/>
            </w:pPr>
            <w:r/>
            <w:r>
              <w:rPr>
                <w:rFonts w:ascii="Times New Roman" w:hAnsi="Times New Roman" w:eastAsia="宋体"/>
                <w:sz w:val="28"/>
              </w:rPr>
              <w:t>第三方权威测试</w:t>
            </w:r>
          </w:p>
        </w:tc>
        <w:tc>
          <w:tcPr>
            <w:tcW w:type="dxa" w:w="3022"/>
          </w:tcPr>
          <w:p>
            <w:pPr>
              <w:jc w:val="center"/>
            </w:pPr>
            <w:r/>
            <w:r>
              <w:rPr>
                <w:rFonts w:ascii="Times New Roman" w:hAnsi="Times New Roman" w:eastAsia="宋体"/>
                <w:sz w:val="28"/>
              </w:rPr>
              <w:t>2026 Q2</w:t>
            </w:r>
          </w:p>
        </w:tc>
        <w:tc>
          <w:tcPr>
            <w:tcW w:type="dxa" w:w="3022"/>
          </w:tcPr>
          <w:p>
            <w:pPr>
              <w:jc w:val="center"/>
            </w:pPr>
            <w:r/>
            <w:r>
              <w:rPr>
                <w:rFonts w:ascii="Times New Roman" w:hAnsi="Times New Roman" w:eastAsia="宋体"/>
                <w:sz w:val="28"/>
              </w:rPr>
              <w:t>上海计量院样机测试与市场适应性验证</w:t>
            </w:r>
          </w:p>
        </w:tc>
      </w:tr>
      <w:tr>
        <w:tc>
          <w:tcPr>
            <w:tcW w:type="dxa" w:w="3022"/>
          </w:tcPr>
          <w:p>
            <w:pPr>
              <w:jc w:val="center"/>
            </w:pPr>
            <w:r/>
            <w:r>
              <w:rPr>
                <w:rFonts w:ascii="Times New Roman" w:hAnsi="Times New Roman" w:eastAsia="宋体"/>
                <w:sz w:val="28"/>
              </w:rPr>
              <w:t>首批量产与交付</w:t>
            </w:r>
          </w:p>
        </w:tc>
        <w:tc>
          <w:tcPr>
            <w:tcW w:type="dxa" w:w="3022"/>
          </w:tcPr>
          <w:p>
            <w:pPr>
              <w:jc w:val="center"/>
            </w:pPr>
            <w:r/>
            <w:r>
              <w:rPr>
                <w:rFonts w:ascii="Times New Roman" w:hAnsi="Times New Roman" w:eastAsia="宋体"/>
                <w:sz w:val="28"/>
              </w:rPr>
              <w:t>2026 H2</w:t>
            </w:r>
          </w:p>
        </w:tc>
        <w:tc>
          <w:tcPr>
            <w:tcW w:type="dxa" w:w="3022"/>
          </w:tcPr>
          <w:p>
            <w:pPr>
              <w:jc w:val="center"/>
            </w:pPr>
            <w:r/>
            <w:r>
              <w:rPr>
                <w:rFonts w:ascii="Times New Roman" w:hAnsi="Times New Roman" w:eastAsia="宋体"/>
                <w:sz w:val="28"/>
              </w:rPr>
              <w:t>30 套订单交付，进入正式商业化阶段</w:t>
            </w:r>
          </w:p>
        </w:tc>
      </w:tr>
    </w:tbl>
    <w:p>
      <w:pPr>
        <w:spacing w:line="560" w:lineRule="exact" w:before="0" w:after="0"/>
        <w:jc w:val="left"/>
      </w:pPr>
      <w:r>
        <w:rPr>
          <w:rFonts w:ascii="Times New Roman" w:hAnsi="Times New Roman" w:eastAsia="楷体"/>
          <w:sz w:val="32"/>
        </w:rPr>
        <w:t>3. 项目应用</w:t>
      </w:r>
    </w:p>
    <w:p>
      <w:pPr>
        <w:spacing w:line="560" w:lineRule="exact" w:before="0" w:after="0"/>
        <w:jc w:val="both"/>
      </w:pPr>
      <w:r>
        <w:rPr>
          <w:rFonts w:ascii="Times New Roman" w:hAnsi="Times New Roman" w:eastAsia="宋体"/>
          <w:sz w:val="28"/>
        </w:rPr>
        <w:t>产品面向的典型应用场景包括野外地质勘测、海关与口岸安检、警用现场可疑物品识别、应急医疗便携式 DR/C 形臂、油气管道与航空航天部件现场无损探伤、电站与重大基础设施安全检查、科研机构材料分析与中子活化分析等。在上述场景中，射线源工作时需要远距离操控以保障人员安全，本项目通过 RS485 远程通信、闭环数字控制和应急切断设计，构建"前端紧凑发射 + 后端远程操作"的工作模式。</w:t>
      </w:r>
    </w:p>
    <w:p>
      <w:pPr>
        <w:spacing w:line="560" w:lineRule="exact" w:before="0" w:after="0"/>
        <w:jc w:val="both"/>
      </w:pPr>
      <w:r>
        <w:rPr>
          <w:rFonts w:ascii="Times New Roman" w:hAnsi="Times New Roman" w:eastAsia="宋体"/>
          <w:sz w:val="28"/>
        </w:rPr>
        <w:t>已落地进展方面，东北师范大学相关实验室视频显示，系统在 100 kV 输出、3 kV 离子源引出、20 V/2 A 阴极加热条件下连续稳定工作；样机预计 2026 年 6 月交付上海计量院；同步与 2—3 家行业整机厂商达成意向合作，推动首批 30 套订单落地。</w:t>
      </w:r>
    </w:p>
    <w:p>
      <w:pPr>
        <w:spacing w:line="560" w:lineRule="exact" w:before="0" w:after="0"/>
        <w:jc w:val="left"/>
      </w:pPr>
      <w:r>
        <w:rPr>
          <w:rFonts w:ascii="Times New Roman" w:hAnsi="Times New Roman" w:eastAsia="楷体"/>
          <w:sz w:val="32"/>
        </w:rPr>
        <w:t>4. 社会价值</w:t>
      </w:r>
    </w:p>
    <w:p>
      <w:pPr>
        <w:spacing w:line="560" w:lineRule="exact" w:before="0" w:after="0"/>
        <w:jc w:val="both"/>
      </w:pPr>
      <w:r>
        <w:rPr>
          <w:rFonts w:ascii="Times New Roman" w:hAnsi="Times New Roman" w:eastAsia="宋体"/>
          <w:sz w:val="28"/>
        </w:rPr>
        <w:t>项目社会价值体现于四个层面：①产业链安全——核心器件 100% 国产化，对冲国际供应链中断与价格垄断风险；②公共安全提升——远程操控与闭环安全管理使操作人员辐射暴露与人身风险显著降低；③民生与就业——便携式医疗影像设备成本下行，可促进基层医疗、移动医疗车、应急医疗单元的设备普及；项目落地吉林省可吸引核技术、电子信息、嵌入式开发等学科高层次人才本地就业；④科研与教育示范——以高校为研发主体，构建"高校实验室→样机研制→第三方检测→产业化"完整链路，为同类创新创业项目提供可复制范式。</w:t>
      </w:r>
    </w:p>
    <w:p>
      <w:pPr>
        <w:spacing w:line="560" w:lineRule="exact" w:before="0" w:after="0"/>
        <w:jc w:val="left"/>
      </w:pPr>
      <w:r>
        <w:rPr>
          <w:rFonts w:ascii="Times New Roman" w:hAnsi="Times New Roman" w:eastAsia="黑体"/>
          <w:b w:val="0"/>
          <w:sz w:val="32"/>
        </w:rPr>
        <w:t>三、项目优势</w:t>
      </w:r>
    </w:p>
    <w:p>
      <w:pPr>
        <w:spacing w:line="560" w:lineRule="exact" w:before="0" w:after="0"/>
        <w:jc w:val="left"/>
      </w:pPr>
      <w:r>
        <w:rPr>
          <w:rFonts w:ascii="Times New Roman" w:hAnsi="Times New Roman" w:eastAsia="楷体"/>
          <w:sz w:val="32"/>
        </w:rPr>
        <w:t>1. 产品服务</w:t>
      </w:r>
    </w:p>
    <w:p>
      <w:pPr>
        <w:spacing w:line="560" w:lineRule="exact" w:before="0" w:after="0"/>
        <w:jc w:val="both"/>
      </w:pPr>
      <w:r>
        <w:rPr>
          <w:rFonts w:ascii="Times New Roman" w:hAnsi="Times New Roman" w:eastAsia="宋体"/>
          <w:sz w:val="28"/>
        </w:rPr>
        <w:t>产品组成与关键参数方面，硬件输出包括超高压 0—100 kV/最大 2 mA、一般高压 0—3000 V/最大 10 mA、低压 0—20 V/最大 2 A，三路供电独立可控；整机重量 &lt;15 kg，模块化尺寸约 350×320×300 mm；上位机软件基于 Windows + Qt + Modbus/RS485，支持电压/电流双模反馈、闭环采样、异常放电检测、应急切断与日志记录，提供"专业模式 + 用户模式"双界面与跨平台版本。</w:t>
      </w:r>
    </w:p>
    <w:p>
      <w:pPr>
        <w:spacing w:line="560" w:lineRule="exact" w:before="0" w:after="0"/>
        <w:jc w:val="both"/>
      </w:pPr>
      <w:r>
        <w:rPr>
          <w:rFonts w:ascii="Times New Roman" w:hAnsi="Times New Roman" w:eastAsia="宋体"/>
          <w:sz w:val="28"/>
        </w:rPr>
        <w:t>配套服务体系覆盖售前-售中-售后全生命周期。售前提供需求分析与方案匹配、定制化参数与接口适配；售中提供标准化交付、专业化安装指导、系统化调试与培训；售后建立 400 客服热线与在线技术平台，分级响应（一般咨询当日回复、故障 24 小时内远程诊断），提供年度预防性维护、备件供应、固件升级与透明收费维修方案。</w:t>
      </w:r>
    </w:p>
    <w:p>
      <w:pPr>
        <w:spacing w:line="560" w:lineRule="exact" w:before="0" w:after="0"/>
        <w:jc w:val="both"/>
      </w:pPr>
      <w:r>
        <w:rPr>
          <w:rFonts w:ascii="Times New Roman" w:hAnsi="Times New Roman" w:eastAsia="宋体"/>
          <w:sz w:val="28"/>
        </w:rPr>
        <w:t>目标客户群体包括医疗影像设备制造商与移动医疗服务商、工业无损检测设备厂商与检测服务公司、海关公安边检系统集成商、应急救援与公共安全装备厂商、高校科研机构与实验设备定制厂商。</w:t>
      </w:r>
    </w:p>
    <w:p>
      <w:pPr>
        <w:spacing w:line="560" w:lineRule="exact" w:before="0" w:after="0"/>
        <w:jc w:val="left"/>
      </w:pPr>
      <w:r>
        <w:rPr>
          <w:rFonts w:ascii="Times New Roman" w:hAnsi="Times New Roman" w:eastAsia="楷体"/>
          <w:sz w:val="32"/>
        </w:rPr>
        <w:t>2. 技术原理</w:t>
      </w:r>
    </w:p>
    <w:p>
      <w:pPr>
        <w:spacing w:line="560" w:lineRule="exact" w:before="0" w:after="0"/>
        <w:jc w:val="both"/>
      </w:pPr>
      <w:r>
        <w:rPr>
          <w:rFonts w:ascii="Times New Roman" w:hAnsi="Times New Roman" w:eastAsia="宋体"/>
          <w:sz w:val="28"/>
        </w:rPr>
        <w:t>技术架构由"三路供电单元 + 一路控制单元 + 一套上位机系统"五位一体构成，关键参数见表 3.1。</w:t>
      </w:r>
    </w:p>
    <w:p>
      <w:pPr>
        <w:spacing w:line="560" w:lineRule="exact" w:before="0" w:after="0"/>
        <w:jc w:val="center"/>
      </w:pPr>
      <w:r>
        <w:rPr>
          <w:rFonts w:ascii="Times New Roman" w:hAnsi="Times New Roman" w:eastAsia="黑体"/>
          <w:sz w:val="24"/>
        </w:rPr>
        <w:t>表3.1 核心技术模块与关键指标</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
              <w:rPr>
                <w:rFonts w:ascii="Times New Roman" w:hAnsi="Times New Roman" w:eastAsia="宋体"/>
                <w:b/>
                <w:sz w:val="28"/>
              </w:rPr>
              <w:t>模块</w:t>
            </w:r>
          </w:p>
        </w:tc>
        <w:tc>
          <w:tcPr>
            <w:tcW w:type="dxa" w:w="1813"/>
          </w:tcPr>
          <w:p>
            <w:pPr>
              <w:jc w:val="center"/>
            </w:pPr>
            <w:r/>
            <w:r>
              <w:rPr>
                <w:rFonts w:ascii="Times New Roman" w:hAnsi="Times New Roman" w:eastAsia="宋体"/>
                <w:b/>
                <w:sz w:val="28"/>
              </w:rPr>
              <w:t>关键技术</w:t>
            </w:r>
          </w:p>
        </w:tc>
        <w:tc>
          <w:tcPr>
            <w:tcW w:type="dxa" w:w="1813"/>
          </w:tcPr>
          <w:p>
            <w:pPr>
              <w:jc w:val="center"/>
            </w:pPr>
            <w:r/>
            <w:r>
              <w:rPr>
                <w:rFonts w:ascii="Times New Roman" w:hAnsi="Times New Roman" w:eastAsia="宋体"/>
                <w:b/>
                <w:sz w:val="28"/>
              </w:rPr>
              <w:t>输入</w:t>
            </w:r>
          </w:p>
        </w:tc>
        <w:tc>
          <w:tcPr>
            <w:tcW w:type="dxa" w:w="1813"/>
          </w:tcPr>
          <w:p>
            <w:pPr>
              <w:jc w:val="center"/>
            </w:pPr>
            <w:r/>
            <w:r>
              <w:rPr>
                <w:rFonts w:ascii="Times New Roman" w:hAnsi="Times New Roman" w:eastAsia="宋体"/>
                <w:b/>
                <w:sz w:val="28"/>
              </w:rPr>
              <w:t>输出</w:t>
            </w:r>
          </w:p>
        </w:tc>
        <w:tc>
          <w:tcPr>
            <w:tcW w:type="dxa" w:w="1813"/>
          </w:tcPr>
          <w:p>
            <w:pPr>
              <w:jc w:val="center"/>
            </w:pPr>
            <w:r/>
            <w:r>
              <w:rPr>
                <w:rFonts w:ascii="Times New Roman" w:hAnsi="Times New Roman" w:eastAsia="宋体"/>
                <w:b/>
                <w:sz w:val="28"/>
              </w:rPr>
              <w:t>关键指标</w:t>
            </w:r>
          </w:p>
        </w:tc>
      </w:tr>
      <w:tr>
        <w:tc>
          <w:tcPr>
            <w:tcW w:type="dxa" w:w="1813"/>
          </w:tcPr>
          <w:p>
            <w:pPr>
              <w:jc w:val="center"/>
            </w:pPr>
            <w:r/>
            <w:r>
              <w:rPr>
                <w:rFonts w:ascii="Times New Roman" w:hAnsi="Times New Roman" w:eastAsia="宋体"/>
                <w:sz w:val="28"/>
              </w:rPr>
              <w:t>超高压模块</w:t>
            </w:r>
          </w:p>
        </w:tc>
        <w:tc>
          <w:tcPr>
            <w:tcW w:type="dxa" w:w="1813"/>
          </w:tcPr>
          <w:p>
            <w:pPr>
              <w:jc w:val="center"/>
            </w:pPr>
            <w:r/>
            <w:r>
              <w:rPr>
                <w:rFonts w:ascii="Times New Roman" w:hAnsi="Times New Roman" w:eastAsia="宋体"/>
                <w:sz w:val="28"/>
              </w:rPr>
              <w:t>22 kHz 高频输入 + 推挽升压</w:t>
            </w:r>
          </w:p>
        </w:tc>
        <w:tc>
          <w:tcPr>
            <w:tcW w:type="dxa" w:w="1813"/>
          </w:tcPr>
          <w:p>
            <w:pPr>
              <w:jc w:val="center"/>
            </w:pPr>
            <w:r/>
            <w:r>
              <w:rPr>
                <w:rFonts w:ascii="Times New Roman" w:hAnsi="Times New Roman" w:eastAsia="宋体"/>
                <w:sz w:val="28"/>
              </w:rPr>
              <w:t>0—10 V</w:t>
            </w:r>
          </w:p>
        </w:tc>
        <w:tc>
          <w:tcPr>
            <w:tcW w:type="dxa" w:w="1813"/>
          </w:tcPr>
          <w:p>
            <w:pPr>
              <w:jc w:val="center"/>
            </w:pPr>
            <w:r/>
            <w:r>
              <w:rPr>
                <w:rFonts w:ascii="Times New Roman" w:hAnsi="Times New Roman" w:eastAsia="宋体"/>
                <w:sz w:val="28"/>
              </w:rPr>
              <w:t>0—100 kV / ≤2 mA</w:t>
            </w:r>
          </w:p>
        </w:tc>
        <w:tc>
          <w:tcPr>
            <w:tcW w:type="dxa" w:w="1813"/>
          </w:tcPr>
          <w:p>
            <w:pPr>
              <w:jc w:val="center"/>
            </w:pPr>
            <w:r/>
            <w:r>
              <w:rPr>
                <w:rFonts w:ascii="Times New Roman" w:hAnsi="Times New Roman" w:eastAsia="宋体"/>
                <w:sz w:val="28"/>
              </w:rPr>
              <w:t>4 位精度，纹波低，最小可测电流 10 µA</w:t>
            </w:r>
          </w:p>
        </w:tc>
      </w:tr>
      <w:tr>
        <w:tc>
          <w:tcPr>
            <w:tcW w:type="dxa" w:w="1813"/>
          </w:tcPr>
          <w:p>
            <w:pPr>
              <w:jc w:val="center"/>
            </w:pPr>
            <w:r/>
            <w:r>
              <w:rPr>
                <w:rFonts w:ascii="Times New Roman" w:hAnsi="Times New Roman" w:eastAsia="宋体"/>
                <w:sz w:val="28"/>
              </w:rPr>
              <w:t>一般高压模块</w:t>
            </w:r>
          </w:p>
        </w:tc>
        <w:tc>
          <w:tcPr>
            <w:tcW w:type="dxa" w:w="1813"/>
          </w:tcPr>
          <w:p>
            <w:pPr>
              <w:jc w:val="center"/>
            </w:pPr>
            <w:r/>
            <w:r>
              <w:rPr>
                <w:rFonts w:ascii="Times New Roman" w:hAnsi="Times New Roman" w:eastAsia="宋体"/>
                <w:sz w:val="28"/>
              </w:rPr>
              <w:t>半导体高压器件 + 微型化封装</w:t>
            </w:r>
          </w:p>
        </w:tc>
        <w:tc>
          <w:tcPr>
            <w:tcW w:type="dxa" w:w="1813"/>
          </w:tcPr>
          <w:p>
            <w:pPr>
              <w:jc w:val="center"/>
            </w:pPr>
            <w:r/>
            <w:r>
              <w:rPr>
                <w:rFonts w:ascii="Times New Roman" w:hAnsi="Times New Roman" w:eastAsia="宋体"/>
                <w:sz w:val="28"/>
              </w:rPr>
              <w:t>DC 24 V</w:t>
            </w:r>
          </w:p>
        </w:tc>
        <w:tc>
          <w:tcPr>
            <w:tcW w:type="dxa" w:w="1813"/>
          </w:tcPr>
          <w:p>
            <w:pPr>
              <w:jc w:val="center"/>
            </w:pPr>
            <w:r/>
            <w:r>
              <w:rPr>
                <w:rFonts w:ascii="Times New Roman" w:hAnsi="Times New Roman" w:eastAsia="宋体"/>
                <w:sz w:val="28"/>
              </w:rPr>
              <w:t>0—3000 V / ≤10 mA</w:t>
            </w:r>
          </w:p>
        </w:tc>
        <w:tc>
          <w:tcPr>
            <w:tcW w:type="dxa" w:w="1813"/>
          </w:tcPr>
          <w:p>
            <w:pPr>
              <w:jc w:val="center"/>
            </w:pPr>
            <w:r/>
            <w:r>
              <w:rPr>
                <w:rFonts w:ascii="Times New Roman" w:hAnsi="Times New Roman" w:eastAsia="宋体"/>
                <w:sz w:val="28"/>
              </w:rPr>
              <w:t>稳定度 0.5%，最大功率 30 W</w:t>
            </w:r>
          </w:p>
        </w:tc>
      </w:tr>
      <w:tr>
        <w:tc>
          <w:tcPr>
            <w:tcW w:type="dxa" w:w="1813"/>
          </w:tcPr>
          <w:p>
            <w:pPr>
              <w:jc w:val="center"/>
            </w:pPr>
            <w:r/>
            <w:r>
              <w:rPr>
                <w:rFonts w:ascii="Times New Roman" w:hAnsi="Times New Roman" w:eastAsia="宋体"/>
                <w:sz w:val="28"/>
              </w:rPr>
              <w:t>低压大电流模块</w:t>
            </w:r>
          </w:p>
        </w:tc>
        <w:tc>
          <w:tcPr>
            <w:tcW w:type="dxa" w:w="1813"/>
          </w:tcPr>
          <w:p>
            <w:pPr>
              <w:jc w:val="center"/>
            </w:pPr>
            <w:r/>
            <w:r>
              <w:rPr>
                <w:rFonts w:ascii="Times New Roman" w:hAnsi="Times New Roman" w:eastAsia="宋体"/>
                <w:sz w:val="28"/>
              </w:rPr>
              <w:t>DC/DC 隔离 + PLC 数字调控</w:t>
            </w:r>
          </w:p>
        </w:tc>
        <w:tc>
          <w:tcPr>
            <w:tcW w:type="dxa" w:w="1813"/>
          </w:tcPr>
          <w:p>
            <w:pPr>
              <w:jc w:val="center"/>
            </w:pPr>
            <w:r/>
            <w:r>
              <w:rPr>
                <w:rFonts w:ascii="Times New Roman" w:hAnsi="Times New Roman" w:eastAsia="宋体"/>
                <w:sz w:val="28"/>
              </w:rPr>
              <w:t>DC 24 V</w:t>
            </w:r>
          </w:p>
        </w:tc>
        <w:tc>
          <w:tcPr>
            <w:tcW w:type="dxa" w:w="1813"/>
          </w:tcPr>
          <w:p>
            <w:pPr>
              <w:jc w:val="center"/>
            </w:pPr>
            <w:r/>
            <w:r>
              <w:rPr>
                <w:rFonts w:ascii="Times New Roman" w:hAnsi="Times New Roman" w:eastAsia="宋体"/>
                <w:sz w:val="28"/>
              </w:rPr>
              <w:t>0—20 V / 0—2 A</w:t>
            </w:r>
          </w:p>
        </w:tc>
        <w:tc>
          <w:tcPr>
            <w:tcW w:type="dxa" w:w="1813"/>
          </w:tcPr>
          <w:p>
            <w:pPr>
              <w:jc w:val="center"/>
            </w:pPr>
            <w:r/>
            <w:r>
              <w:rPr>
                <w:rFonts w:ascii="Times New Roman" w:hAnsi="Times New Roman" w:eastAsia="宋体"/>
                <w:sz w:val="28"/>
              </w:rPr>
              <w:t>电压精度 0.1 V，电流精度 10 mA</w:t>
            </w:r>
          </w:p>
        </w:tc>
      </w:tr>
      <w:tr>
        <w:tc>
          <w:tcPr>
            <w:tcW w:type="dxa" w:w="1813"/>
          </w:tcPr>
          <w:p>
            <w:pPr>
              <w:jc w:val="center"/>
            </w:pPr>
            <w:r/>
            <w:r>
              <w:rPr>
                <w:rFonts w:ascii="Times New Roman" w:hAnsi="Times New Roman" w:eastAsia="宋体"/>
                <w:sz w:val="28"/>
              </w:rPr>
              <w:t>PLC 控制单元</w:t>
            </w:r>
          </w:p>
        </w:tc>
        <w:tc>
          <w:tcPr>
            <w:tcW w:type="dxa" w:w="1813"/>
          </w:tcPr>
          <w:p>
            <w:pPr>
              <w:jc w:val="center"/>
            </w:pPr>
            <w:r/>
            <w:r>
              <w:rPr>
                <w:rFonts w:ascii="Times New Roman" w:hAnsi="Times New Roman" w:eastAsia="宋体"/>
                <w:sz w:val="28"/>
              </w:rPr>
              <w:t>采样—反馈—调节—保护四位一体</w:t>
            </w:r>
          </w:p>
        </w:tc>
        <w:tc>
          <w:tcPr>
            <w:tcW w:type="dxa" w:w="1813"/>
          </w:tcPr>
          <w:p>
            <w:pPr>
              <w:jc w:val="center"/>
            </w:pPr>
            <w:r/>
            <w:r>
              <w:rPr>
                <w:rFonts w:ascii="Times New Roman" w:hAnsi="Times New Roman" w:eastAsia="宋体"/>
                <w:sz w:val="28"/>
              </w:rPr>
              <w:t>各路反馈量</w:t>
            </w:r>
          </w:p>
        </w:tc>
        <w:tc>
          <w:tcPr>
            <w:tcW w:type="dxa" w:w="1813"/>
          </w:tcPr>
          <w:p>
            <w:pPr>
              <w:jc w:val="center"/>
            </w:pPr>
            <w:r/>
            <w:r>
              <w:rPr>
                <w:rFonts w:ascii="Times New Roman" w:hAnsi="Times New Roman" w:eastAsia="宋体"/>
                <w:sz w:val="28"/>
              </w:rPr>
              <w:t>数字控制信号</w:t>
            </w:r>
          </w:p>
        </w:tc>
        <w:tc>
          <w:tcPr>
            <w:tcW w:type="dxa" w:w="1813"/>
          </w:tcPr>
          <w:p>
            <w:pPr>
              <w:jc w:val="center"/>
            </w:pPr>
            <w:r/>
            <w:r>
              <w:rPr>
                <w:rFonts w:ascii="Times New Roman" w:hAnsi="Times New Roman" w:eastAsia="宋体"/>
                <w:sz w:val="28"/>
              </w:rPr>
              <w:t>毫秒级响应</w:t>
            </w:r>
          </w:p>
        </w:tc>
      </w:tr>
      <w:tr>
        <w:tc>
          <w:tcPr>
            <w:tcW w:type="dxa" w:w="1813"/>
          </w:tcPr>
          <w:p>
            <w:pPr>
              <w:jc w:val="center"/>
            </w:pPr>
            <w:r/>
            <w:r>
              <w:rPr>
                <w:rFonts w:ascii="Times New Roman" w:hAnsi="Times New Roman" w:eastAsia="宋体"/>
                <w:sz w:val="28"/>
              </w:rPr>
              <w:t>上位机软件</w:t>
            </w:r>
          </w:p>
        </w:tc>
        <w:tc>
          <w:tcPr>
            <w:tcW w:type="dxa" w:w="1813"/>
          </w:tcPr>
          <w:p>
            <w:pPr>
              <w:jc w:val="center"/>
            </w:pPr>
            <w:r/>
            <w:r>
              <w:rPr>
                <w:rFonts w:ascii="Times New Roman" w:hAnsi="Times New Roman" w:eastAsia="宋体"/>
                <w:sz w:val="28"/>
              </w:rPr>
              <w:t>Windows + C++/Qt + Modbus/RS485</w:t>
            </w:r>
          </w:p>
        </w:tc>
        <w:tc>
          <w:tcPr>
            <w:tcW w:type="dxa" w:w="1813"/>
          </w:tcPr>
          <w:p>
            <w:pPr>
              <w:jc w:val="center"/>
            </w:pPr>
            <w:r/>
            <w:r>
              <w:rPr>
                <w:rFonts w:ascii="Times New Roman" w:hAnsi="Times New Roman" w:eastAsia="宋体"/>
                <w:sz w:val="28"/>
              </w:rPr>
              <w:t>用户指令</w:t>
            </w:r>
          </w:p>
        </w:tc>
        <w:tc>
          <w:tcPr>
            <w:tcW w:type="dxa" w:w="1813"/>
          </w:tcPr>
          <w:p>
            <w:pPr>
              <w:jc w:val="center"/>
            </w:pPr>
            <w:r/>
            <w:r>
              <w:rPr>
                <w:rFonts w:ascii="Times New Roman" w:hAnsi="Times New Roman" w:eastAsia="宋体"/>
                <w:sz w:val="28"/>
              </w:rPr>
              <w:t>远程控制+日志</w:t>
            </w:r>
          </w:p>
        </w:tc>
        <w:tc>
          <w:tcPr>
            <w:tcW w:type="dxa" w:w="1813"/>
          </w:tcPr>
          <w:p>
            <w:pPr>
              <w:jc w:val="center"/>
            </w:pPr>
            <w:r/>
            <w:r>
              <w:rPr>
                <w:rFonts w:ascii="Times New Roman" w:hAnsi="Times New Roman" w:eastAsia="宋体"/>
                <w:sz w:val="28"/>
              </w:rPr>
              <w:t>远程距离 ≤1000 m，跨平台</w:t>
            </w:r>
          </w:p>
        </w:tc>
      </w:tr>
    </w:tbl>
    <w:p>
      <w:pPr>
        <w:spacing w:line="560" w:lineRule="exact" w:before="0" w:after="0"/>
        <w:jc w:val="left"/>
      </w:pPr>
      <w:r>
        <w:rPr>
          <w:rFonts w:ascii="Times New Roman" w:hAnsi="Times New Roman" w:eastAsia="楷体"/>
          <w:sz w:val="32"/>
        </w:rPr>
        <w:t>3. 创新点</w:t>
      </w:r>
    </w:p>
    <w:p>
      <w:pPr>
        <w:spacing w:line="560" w:lineRule="exact" w:before="0" w:after="0"/>
        <w:jc w:val="both"/>
      </w:pPr>
      <w:r>
        <w:rPr>
          <w:rFonts w:ascii="Times New Roman" w:hAnsi="Times New Roman" w:eastAsia="宋体"/>
          <w:sz w:val="28"/>
        </w:rPr>
        <w:t>创新一为硬件层面的"三合一"集成创新。在国内首次将传统分体式的超高压、一般高压、低压大电流集成于同一设备，依托共地隔离与电磁兼容设计解决了多路高压互扰问题，实现 15 kg 级整机便携形态。</w:t>
      </w:r>
    </w:p>
    <w:p>
      <w:pPr>
        <w:spacing w:line="560" w:lineRule="exact" w:before="0" w:after="0"/>
        <w:jc w:val="both"/>
      </w:pPr>
      <w:r>
        <w:rPr>
          <w:rFonts w:ascii="Times New Roman" w:hAnsi="Times New Roman" w:eastAsia="宋体"/>
          <w:sz w:val="28"/>
        </w:rPr>
        <w:t>创新二为软硬件耦合的闭环数字控制创新。通过 PLC 实现采样—反馈—调节—保护四位一体闭环，软件内置异常放电检测算法，可对过压、过流、拉弧等故障毫秒级响应，显著降低射线源高压冲击故障率。</w:t>
      </w:r>
    </w:p>
    <w:p>
      <w:pPr>
        <w:spacing w:line="560" w:lineRule="exact" w:before="0" w:after="0"/>
        <w:jc w:val="both"/>
      </w:pPr>
      <w:r>
        <w:rPr>
          <w:rFonts w:ascii="Times New Roman" w:hAnsi="Times New Roman" w:eastAsia="宋体"/>
          <w:sz w:val="28"/>
        </w:rPr>
        <w:t>创新三为工程层面的远程安全管理创新。基于 Modbus 协议与 RS485 通信，控制距离最远 1000 m，配合应急切断与分级权限管理，彻底改变传统设备"近距离操作"的安全隐患；上位机提供专业模式与用户模式，降低终端用户技术门槛。</w:t>
      </w:r>
    </w:p>
    <w:p>
      <w:pPr>
        <w:spacing w:line="560" w:lineRule="exact" w:before="0" w:after="0"/>
        <w:jc w:val="both"/>
      </w:pPr>
      <w:r>
        <w:rPr>
          <w:rFonts w:ascii="Times New Roman" w:hAnsi="Times New Roman" w:eastAsia="宋体"/>
          <w:sz w:val="28"/>
        </w:rPr>
        <w:t>创新四为商业模式层面的"按项目收费"技术服务创新。除标准化产品销售外，针对客户特殊参数提供定制开发与系统集成服务，单项目 5—30 万元，有效降低客户初次决策门槛、扩大潜在市场。</w:t>
      </w:r>
    </w:p>
    <w:p>
      <w:pPr>
        <w:spacing w:line="560" w:lineRule="exact" w:before="0" w:after="0"/>
        <w:jc w:val="left"/>
      </w:pPr>
      <w:r>
        <w:rPr>
          <w:rFonts w:ascii="Times New Roman" w:hAnsi="Times New Roman" w:eastAsia="楷体"/>
          <w:sz w:val="32"/>
        </w:rPr>
        <w:t>4. 技术可行性</w:t>
      </w:r>
    </w:p>
    <w:p>
      <w:pPr>
        <w:spacing w:line="560" w:lineRule="exact" w:before="0" w:after="0"/>
        <w:jc w:val="both"/>
      </w:pPr>
      <w:r>
        <w:rPr>
          <w:rFonts w:ascii="Times New Roman" w:hAnsi="Times New Roman" w:eastAsia="宋体"/>
          <w:sz w:val="28"/>
        </w:rPr>
        <w:t>成熟度方面，硬件三路供电模块均完成原理验证、样机制作与系统集成；软件全部功能模块已开发并联调通过；东北师范大学实验室视频资料显示，系统在长时连续工作下保持稳定。</w:t>
      </w:r>
    </w:p>
    <w:p>
      <w:pPr>
        <w:spacing w:line="560" w:lineRule="exact" w:before="0" w:after="0"/>
        <w:jc w:val="both"/>
      </w:pPr>
      <w:r>
        <w:rPr>
          <w:rFonts w:ascii="Times New Roman" w:hAnsi="Times New Roman" w:eastAsia="宋体"/>
          <w:sz w:val="28"/>
        </w:rPr>
        <w:t>知识产权方面，在申实用新型专利 2 项（覆盖三合一供电拓扑与闭环控制结构），软件著作权 2 项（覆盖上位机控制软件与下位机驱动固件）。</w:t>
      </w:r>
    </w:p>
    <w:p>
      <w:pPr>
        <w:spacing w:line="560" w:lineRule="exact" w:before="0" w:after="0"/>
        <w:jc w:val="both"/>
      </w:pPr>
      <w:r>
        <w:rPr>
          <w:rFonts w:ascii="Times New Roman" w:hAnsi="Times New Roman" w:eastAsia="宋体"/>
          <w:sz w:val="28"/>
        </w:rPr>
        <w:t>第三方权威背书方面，预计 2026 年 6 月将向上海计量院交付样机，开展第三方检测与市场适应性验证，为产品定型与批量化生产提供权威报告。</w:t>
      </w:r>
    </w:p>
    <w:p>
      <w:pPr>
        <w:spacing w:line="560" w:lineRule="exact" w:before="0" w:after="0"/>
        <w:jc w:val="both"/>
      </w:pPr>
      <w:r>
        <w:rPr>
          <w:rFonts w:ascii="Times New Roman" w:hAnsi="Times New Roman" w:eastAsia="宋体"/>
          <w:sz w:val="28"/>
        </w:rPr>
        <w:t>供应链与产能方面，核心器件以国产为主，半导体高压模块、PLC 控制器、变压磁性元件等均已建立稳定供应商；依托校企合作与本地电子制造资源，6 个月内具备 50 套/年小批量交付能力，1 年内具备 200 套/年量产能力。</w:t>
      </w:r>
    </w:p>
    <w:p>
      <w:pPr>
        <w:spacing w:line="560" w:lineRule="exact" w:before="0" w:after="0"/>
        <w:jc w:val="left"/>
      </w:pPr>
      <w:r>
        <w:rPr>
          <w:rFonts w:ascii="Times New Roman" w:hAnsi="Times New Roman" w:eastAsia="黑体"/>
          <w:b w:val="0"/>
          <w:sz w:val="32"/>
        </w:rPr>
        <w:t>四、市场分析</w:t>
      </w:r>
    </w:p>
    <w:p>
      <w:pPr>
        <w:spacing w:line="560" w:lineRule="exact" w:before="0" w:after="0"/>
        <w:jc w:val="left"/>
      </w:pPr>
      <w:r>
        <w:rPr>
          <w:rFonts w:ascii="Times New Roman" w:hAnsi="Times New Roman" w:eastAsia="楷体"/>
          <w:sz w:val="32"/>
        </w:rPr>
        <w:t>1. 行业分析</w:t>
      </w:r>
    </w:p>
    <w:p>
      <w:pPr>
        <w:spacing w:line="560" w:lineRule="exact" w:before="0" w:after="0"/>
        <w:jc w:val="both"/>
      </w:pPr>
      <w:r>
        <w:rPr>
          <w:rFonts w:ascii="Times New Roman" w:hAnsi="Times New Roman" w:eastAsia="宋体"/>
          <w:sz w:val="28"/>
        </w:rPr>
        <w:t>行业地位方面，高压发生器是 X 射线源、中子源、等离子体源的核心电源部件，处于"核应用整机制造"产业链关键价值环节。行业核心导向可概括为"小型化—智能化—低辐射—国产化"四大趋势。政策环境方面，《"十四五"医疗装备产业发展规划》《国务院关于推动核技术应用产业高质量发展的相关意见》等多次部署国产化高端电源与小型核应用技术产业化。</w:t>
      </w:r>
    </w:p>
    <w:p>
      <w:pPr>
        <w:spacing w:line="560" w:lineRule="exact" w:before="0" w:after="0"/>
        <w:jc w:val="both"/>
      </w:pPr>
      <w:r>
        <w:rPr>
          <w:rFonts w:ascii="Times New Roman" w:hAnsi="Times New Roman" w:eastAsia="宋体"/>
          <w:sz w:val="28"/>
        </w:rPr>
        <w:t>PEST 简析方面，政策上国家战略性新兴产业、国产替代政策与"卡脖子"清单均涵盖高压电源；经济上核应用产值年增速 10% 以上，2024 年突破 9000 亿元；社会上移动医疗、应急救援、公共安全等场景对便携式核装备需求显著；技术上 SiC/GaN 半导体、PLC 数字化控制、IoT 远程通信等技术成熟。</w:t>
      </w:r>
    </w:p>
    <w:p>
      <w:pPr>
        <w:spacing w:line="560" w:lineRule="exact" w:before="0" w:after="0"/>
        <w:jc w:val="left"/>
      </w:pPr>
      <w:r>
        <w:rPr>
          <w:rFonts w:ascii="Times New Roman" w:hAnsi="Times New Roman" w:eastAsia="楷体"/>
          <w:sz w:val="32"/>
        </w:rPr>
        <w:t>2. 市场分析</w:t>
      </w:r>
    </w:p>
    <w:p>
      <w:pPr>
        <w:spacing w:line="560" w:lineRule="exact" w:before="0" w:after="0"/>
        <w:jc w:val="both"/>
      </w:pPr>
      <w:r>
        <w:rPr>
          <w:rFonts w:ascii="Times New Roman" w:hAnsi="Times New Roman" w:eastAsia="宋体"/>
          <w:sz w:val="28"/>
        </w:rPr>
        <w:t>TAM 潜在市场总规模方面，据 Markets and Markets 与 GlobalInfoResearch 公开数据，全球 CT 用 X 射线高压发生器 2022 年 30 亿美元、2029 年 45 亿美元（CAGR 约 5.9%）；X 射线安检 2024 年 34 亿美元增长至 2030 年 62 亿美元（CAGR 约 8.9%）；工业 X 射线成像 2022 年 41 亿美元增长至 2032 年 68 亿美元（CAGR 约 7.29%）。三大细分合计 TAM 约 65 亿美元（2024）增长至 100 亿美元（2030），年复合增长率约 7%。</w:t>
      </w:r>
    </w:p>
    <w:p>
      <w:pPr>
        <w:spacing w:line="560" w:lineRule="exact" w:before="0" w:after="0"/>
        <w:jc w:val="both"/>
      </w:pPr>
      <w:r>
        <w:rPr>
          <w:rFonts w:ascii="Times New Roman" w:hAnsi="Times New Roman" w:eastAsia="宋体"/>
          <w:sz w:val="28"/>
        </w:rPr>
        <w:t>SAM 可服务市场方面，聚焦中国市场，据博研咨询《2024—2030 年中国 X 射线高压发生器行业运营现状及投资发展研究报告》，国内市场 2023 年 120 亿元、2025 年预计 180 亿元，CAGR 约 22%。</w:t>
      </w:r>
    </w:p>
    <w:p>
      <w:pPr>
        <w:spacing w:line="560" w:lineRule="exact" w:before="0" w:after="0"/>
        <w:jc w:val="both"/>
      </w:pPr>
      <w:r>
        <w:rPr>
          <w:rFonts w:ascii="Times New Roman" w:hAnsi="Times New Roman" w:eastAsia="宋体"/>
          <w:sz w:val="28"/>
        </w:rPr>
        <w:t>SOM 可获取市场方面，本项目聚焦"小型可控放射源电控系统"细分赛道，结合团队对存量与增量的实地调研测算，存量市场约 6.5 万套、增量市场每年 1500—2000 套，按 25 万元/套折算，SOM 约 25 亿元/年。</w:t>
      </w:r>
    </w:p>
    <w:p>
      <w:pPr>
        <w:spacing w:line="560" w:lineRule="exact" w:before="0" w:after="0"/>
        <w:jc w:val="center"/>
      </w:pPr>
      <w:r>
        <w:rPr>
          <w:rFonts w:ascii="Times New Roman" w:hAnsi="Times New Roman" w:eastAsia="黑体"/>
          <w:sz w:val="24"/>
        </w:rPr>
        <w:t>表4.1 三层市场容量测算</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
              <w:rPr>
                <w:rFonts w:ascii="Times New Roman" w:hAnsi="Times New Roman" w:eastAsia="宋体"/>
                <w:b/>
                <w:sz w:val="28"/>
              </w:rPr>
              <w:t>层次</w:t>
            </w:r>
          </w:p>
        </w:tc>
        <w:tc>
          <w:tcPr>
            <w:tcW w:type="dxa" w:w="2266"/>
          </w:tcPr>
          <w:p>
            <w:pPr>
              <w:jc w:val="center"/>
            </w:pPr>
            <w:r/>
            <w:r>
              <w:rPr>
                <w:rFonts w:ascii="Times New Roman" w:hAnsi="Times New Roman" w:eastAsia="宋体"/>
                <w:b/>
                <w:sz w:val="28"/>
              </w:rPr>
              <w:t>范围</w:t>
            </w:r>
          </w:p>
        </w:tc>
        <w:tc>
          <w:tcPr>
            <w:tcW w:type="dxa" w:w="2266"/>
          </w:tcPr>
          <w:p>
            <w:pPr>
              <w:jc w:val="center"/>
            </w:pPr>
            <w:r/>
            <w:r>
              <w:rPr>
                <w:rFonts w:ascii="Times New Roman" w:hAnsi="Times New Roman" w:eastAsia="宋体"/>
                <w:b/>
                <w:sz w:val="28"/>
              </w:rPr>
              <w:t>规模（基准年 2024）</w:t>
            </w:r>
          </w:p>
        </w:tc>
        <w:tc>
          <w:tcPr>
            <w:tcW w:type="dxa" w:w="2266"/>
          </w:tcPr>
          <w:p>
            <w:pPr>
              <w:jc w:val="center"/>
            </w:pPr>
            <w:r/>
            <w:r>
              <w:rPr>
                <w:rFonts w:ascii="Times New Roman" w:hAnsi="Times New Roman" w:eastAsia="宋体"/>
                <w:b/>
                <w:sz w:val="28"/>
              </w:rPr>
              <w:t>增长展望</w:t>
            </w:r>
          </w:p>
        </w:tc>
      </w:tr>
      <w:tr>
        <w:tc>
          <w:tcPr>
            <w:tcW w:type="dxa" w:w="2266"/>
          </w:tcPr>
          <w:p>
            <w:pPr>
              <w:jc w:val="center"/>
            </w:pPr>
            <w:r/>
            <w:r>
              <w:rPr>
                <w:rFonts w:ascii="Times New Roman" w:hAnsi="Times New Roman" w:eastAsia="宋体"/>
                <w:sz w:val="28"/>
              </w:rPr>
              <w:t>TAM</w:t>
            </w:r>
          </w:p>
        </w:tc>
        <w:tc>
          <w:tcPr>
            <w:tcW w:type="dxa" w:w="2266"/>
          </w:tcPr>
          <w:p>
            <w:pPr>
              <w:jc w:val="center"/>
            </w:pPr>
            <w:r/>
            <w:r>
              <w:rPr>
                <w:rFonts w:ascii="Times New Roman" w:hAnsi="Times New Roman" w:eastAsia="宋体"/>
                <w:sz w:val="28"/>
              </w:rPr>
              <w:t>全球高压发生器（CT+安检+工业 X 光）</w:t>
            </w:r>
          </w:p>
        </w:tc>
        <w:tc>
          <w:tcPr>
            <w:tcW w:type="dxa" w:w="2266"/>
          </w:tcPr>
          <w:p>
            <w:pPr>
              <w:jc w:val="center"/>
            </w:pPr>
            <w:r/>
            <w:r>
              <w:rPr>
                <w:rFonts w:ascii="Times New Roman" w:hAnsi="Times New Roman" w:eastAsia="宋体"/>
                <w:sz w:val="28"/>
              </w:rPr>
              <w:t>约 65 亿美元</w:t>
            </w:r>
          </w:p>
        </w:tc>
        <w:tc>
          <w:tcPr>
            <w:tcW w:type="dxa" w:w="2266"/>
          </w:tcPr>
          <w:p>
            <w:pPr>
              <w:jc w:val="center"/>
            </w:pPr>
            <w:r/>
            <w:r>
              <w:rPr>
                <w:rFonts w:ascii="Times New Roman" w:hAnsi="Times New Roman" w:eastAsia="宋体"/>
                <w:sz w:val="28"/>
              </w:rPr>
              <w:t>CAGR 约 7%</w:t>
            </w:r>
          </w:p>
        </w:tc>
      </w:tr>
      <w:tr>
        <w:tc>
          <w:tcPr>
            <w:tcW w:type="dxa" w:w="2266"/>
          </w:tcPr>
          <w:p>
            <w:pPr>
              <w:jc w:val="center"/>
            </w:pPr>
            <w:r/>
            <w:r>
              <w:rPr>
                <w:rFonts w:ascii="Times New Roman" w:hAnsi="Times New Roman" w:eastAsia="宋体"/>
                <w:sz w:val="28"/>
              </w:rPr>
              <w:t>SAM</w:t>
            </w:r>
          </w:p>
        </w:tc>
        <w:tc>
          <w:tcPr>
            <w:tcW w:type="dxa" w:w="2266"/>
          </w:tcPr>
          <w:p>
            <w:pPr>
              <w:jc w:val="center"/>
            </w:pPr>
            <w:r/>
            <w:r>
              <w:rPr>
                <w:rFonts w:ascii="Times New Roman" w:hAnsi="Times New Roman" w:eastAsia="宋体"/>
                <w:sz w:val="28"/>
              </w:rPr>
              <w:t>中国 X 射线高压发生器市场</w:t>
            </w:r>
          </w:p>
        </w:tc>
        <w:tc>
          <w:tcPr>
            <w:tcW w:type="dxa" w:w="2266"/>
          </w:tcPr>
          <w:p>
            <w:pPr>
              <w:jc w:val="center"/>
            </w:pPr>
            <w:r/>
            <w:r>
              <w:rPr>
                <w:rFonts w:ascii="Times New Roman" w:hAnsi="Times New Roman" w:eastAsia="宋体"/>
                <w:sz w:val="28"/>
              </w:rPr>
              <w:t>约 130—180 亿元</w:t>
            </w:r>
          </w:p>
        </w:tc>
        <w:tc>
          <w:tcPr>
            <w:tcW w:type="dxa" w:w="2266"/>
          </w:tcPr>
          <w:p>
            <w:pPr>
              <w:jc w:val="center"/>
            </w:pPr>
            <w:r/>
            <w:r>
              <w:rPr>
                <w:rFonts w:ascii="Times New Roman" w:hAnsi="Times New Roman" w:eastAsia="宋体"/>
                <w:sz w:val="28"/>
              </w:rPr>
              <w:t>CAGR 约 22%</w:t>
            </w:r>
          </w:p>
        </w:tc>
      </w:tr>
      <w:tr>
        <w:tc>
          <w:tcPr>
            <w:tcW w:type="dxa" w:w="2266"/>
          </w:tcPr>
          <w:p>
            <w:pPr>
              <w:jc w:val="center"/>
            </w:pPr>
            <w:r/>
            <w:r>
              <w:rPr>
                <w:rFonts w:ascii="Times New Roman" w:hAnsi="Times New Roman" w:eastAsia="宋体"/>
                <w:sz w:val="28"/>
              </w:rPr>
              <w:t>SOM</w:t>
            </w:r>
          </w:p>
        </w:tc>
        <w:tc>
          <w:tcPr>
            <w:tcW w:type="dxa" w:w="2266"/>
          </w:tcPr>
          <w:p>
            <w:pPr>
              <w:jc w:val="center"/>
            </w:pPr>
            <w:r/>
            <w:r>
              <w:rPr>
                <w:rFonts w:ascii="Times New Roman" w:hAnsi="Times New Roman" w:eastAsia="宋体"/>
                <w:sz w:val="28"/>
              </w:rPr>
              <w:t>中国小型可控放射源电控细分</w:t>
            </w:r>
          </w:p>
        </w:tc>
        <w:tc>
          <w:tcPr>
            <w:tcW w:type="dxa" w:w="2266"/>
          </w:tcPr>
          <w:p>
            <w:pPr>
              <w:jc w:val="center"/>
            </w:pPr>
            <w:r/>
            <w:r>
              <w:rPr>
                <w:rFonts w:ascii="Times New Roman" w:hAnsi="Times New Roman" w:eastAsia="宋体"/>
                <w:sz w:val="28"/>
              </w:rPr>
              <w:t>约 25 亿元/年</w:t>
            </w:r>
          </w:p>
        </w:tc>
        <w:tc>
          <w:tcPr>
            <w:tcW w:type="dxa" w:w="2266"/>
          </w:tcPr>
          <w:p>
            <w:pPr>
              <w:jc w:val="center"/>
            </w:pPr>
            <w:r/>
            <w:r>
              <w:rPr>
                <w:rFonts w:ascii="Times New Roman" w:hAnsi="Times New Roman" w:eastAsia="宋体"/>
                <w:sz w:val="28"/>
              </w:rPr>
              <w:t>增量 1500—2000 套/年</w:t>
            </w:r>
          </w:p>
        </w:tc>
      </w:tr>
    </w:tbl>
    <w:p>
      <w:pPr>
        <w:spacing w:line="560" w:lineRule="exact" w:before="0" w:after="0"/>
        <w:jc w:val="left"/>
      </w:pPr>
      <w:r>
        <w:rPr>
          <w:rFonts w:ascii="Times New Roman" w:hAnsi="Times New Roman" w:eastAsia="楷体"/>
          <w:sz w:val="32"/>
        </w:rPr>
        <w:t>3. 竞品分析</w:t>
      </w:r>
    </w:p>
    <w:p>
      <w:pPr>
        <w:spacing w:line="560" w:lineRule="exact" w:before="0" w:after="0"/>
        <w:jc w:val="both"/>
      </w:pPr>
      <w:r>
        <w:rPr>
          <w:rFonts w:ascii="Times New Roman" w:hAnsi="Times New Roman" w:eastAsia="宋体"/>
          <w:sz w:val="28"/>
        </w:rPr>
        <w:t>主要竞争者对比见表 4.2。</w:t>
      </w:r>
    </w:p>
    <w:p>
      <w:pPr>
        <w:spacing w:line="560" w:lineRule="exact" w:before="0" w:after="0"/>
        <w:jc w:val="center"/>
      </w:pPr>
      <w:r>
        <w:rPr>
          <w:rFonts w:ascii="Times New Roman" w:hAnsi="Times New Roman" w:eastAsia="黑体"/>
          <w:sz w:val="24"/>
        </w:rPr>
        <w:t>表4.2 主要竞品对比</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
              <w:rPr>
                <w:rFonts w:ascii="Times New Roman" w:hAnsi="Times New Roman" w:eastAsia="宋体"/>
                <w:b/>
                <w:sz w:val="28"/>
              </w:rPr>
              <w:t>对比维度</w:t>
            </w:r>
          </w:p>
        </w:tc>
        <w:tc>
          <w:tcPr>
            <w:tcW w:type="dxa" w:w="1813"/>
          </w:tcPr>
          <w:p>
            <w:pPr>
              <w:jc w:val="center"/>
            </w:pPr>
            <w:r/>
            <w:r>
              <w:rPr>
                <w:rFonts w:ascii="Times New Roman" w:hAnsi="Times New Roman" w:eastAsia="宋体"/>
                <w:b/>
                <w:sz w:val="28"/>
              </w:rPr>
              <w:t>Spellman（国际）</w:t>
            </w:r>
          </w:p>
        </w:tc>
        <w:tc>
          <w:tcPr>
            <w:tcW w:type="dxa" w:w="1813"/>
          </w:tcPr>
          <w:p>
            <w:pPr>
              <w:jc w:val="center"/>
            </w:pPr>
            <w:r/>
            <w:r>
              <w:rPr>
                <w:rFonts w:ascii="Times New Roman" w:hAnsi="Times New Roman" w:eastAsia="宋体"/>
                <w:b/>
                <w:sz w:val="28"/>
              </w:rPr>
              <w:t>威思曼（国内）</w:t>
            </w:r>
          </w:p>
        </w:tc>
        <w:tc>
          <w:tcPr>
            <w:tcW w:type="dxa" w:w="1813"/>
          </w:tcPr>
          <w:p>
            <w:pPr>
              <w:jc w:val="center"/>
            </w:pPr>
            <w:r/>
            <w:r>
              <w:rPr>
                <w:rFonts w:ascii="Times New Roman" w:hAnsi="Times New Roman" w:eastAsia="宋体"/>
                <w:b/>
                <w:sz w:val="28"/>
              </w:rPr>
              <w:t>泰思曼（国内）</w:t>
            </w:r>
          </w:p>
        </w:tc>
        <w:tc>
          <w:tcPr>
            <w:tcW w:type="dxa" w:w="1813"/>
          </w:tcPr>
          <w:p>
            <w:pPr>
              <w:jc w:val="center"/>
            </w:pPr>
            <w:r/>
            <w:r>
              <w:rPr>
                <w:rFonts w:ascii="Times New Roman" w:hAnsi="Times New Roman" w:eastAsia="宋体"/>
                <w:b/>
                <w:sz w:val="28"/>
              </w:rPr>
              <w:t>吉科核源（本项目）</w:t>
            </w:r>
          </w:p>
        </w:tc>
      </w:tr>
      <w:tr>
        <w:tc>
          <w:tcPr>
            <w:tcW w:type="dxa" w:w="1813"/>
          </w:tcPr>
          <w:p>
            <w:pPr>
              <w:jc w:val="center"/>
            </w:pPr>
            <w:r/>
            <w:r>
              <w:rPr>
                <w:rFonts w:ascii="Times New Roman" w:hAnsi="Times New Roman" w:eastAsia="宋体"/>
                <w:sz w:val="28"/>
              </w:rPr>
              <w:t>核心产品形态</w:t>
            </w:r>
          </w:p>
        </w:tc>
        <w:tc>
          <w:tcPr>
            <w:tcW w:type="dxa" w:w="1813"/>
          </w:tcPr>
          <w:p>
            <w:pPr>
              <w:jc w:val="center"/>
            </w:pPr>
            <w:r/>
            <w:r>
              <w:rPr>
                <w:rFonts w:ascii="Times New Roman" w:hAnsi="Times New Roman" w:eastAsia="宋体"/>
                <w:sz w:val="28"/>
              </w:rPr>
              <w:t>SL 系列独立高压模块，需外部控制器</w:t>
            </w:r>
          </w:p>
        </w:tc>
        <w:tc>
          <w:tcPr>
            <w:tcW w:type="dxa" w:w="1813"/>
          </w:tcPr>
          <w:p>
            <w:pPr>
              <w:jc w:val="center"/>
            </w:pPr>
            <w:r/>
            <w:r>
              <w:rPr>
                <w:rFonts w:ascii="Times New Roman" w:hAnsi="Times New Roman" w:eastAsia="宋体"/>
                <w:sz w:val="28"/>
              </w:rPr>
              <w:t>24 V 输入微型高压模块</w:t>
            </w:r>
          </w:p>
        </w:tc>
        <w:tc>
          <w:tcPr>
            <w:tcW w:type="dxa" w:w="1813"/>
          </w:tcPr>
          <w:p>
            <w:pPr>
              <w:jc w:val="center"/>
            </w:pPr>
            <w:r/>
            <w:r>
              <w:rPr>
                <w:rFonts w:ascii="Times New Roman" w:hAnsi="Times New Roman" w:eastAsia="宋体"/>
                <w:sz w:val="28"/>
              </w:rPr>
              <w:t>TM/TEPM 系列模块式高压电源</w:t>
            </w:r>
          </w:p>
        </w:tc>
        <w:tc>
          <w:tcPr>
            <w:tcW w:type="dxa" w:w="1813"/>
          </w:tcPr>
          <w:p>
            <w:pPr>
              <w:jc w:val="center"/>
            </w:pPr>
            <w:r/>
            <w:r>
              <w:rPr>
                <w:rFonts w:ascii="Times New Roman" w:hAnsi="Times New Roman" w:eastAsia="宋体"/>
                <w:sz w:val="28"/>
              </w:rPr>
              <w:t>三合一集成系统</w:t>
            </w:r>
          </w:p>
        </w:tc>
      </w:tr>
      <w:tr>
        <w:tc>
          <w:tcPr>
            <w:tcW w:type="dxa" w:w="1813"/>
          </w:tcPr>
          <w:p>
            <w:pPr>
              <w:jc w:val="center"/>
            </w:pPr>
            <w:r/>
            <w:r>
              <w:rPr>
                <w:rFonts w:ascii="Times New Roman" w:hAnsi="Times New Roman" w:eastAsia="宋体"/>
                <w:sz w:val="28"/>
              </w:rPr>
              <w:t>输出结构</w:t>
            </w:r>
          </w:p>
        </w:tc>
        <w:tc>
          <w:tcPr>
            <w:tcW w:type="dxa" w:w="1813"/>
          </w:tcPr>
          <w:p>
            <w:pPr>
              <w:jc w:val="center"/>
            </w:pPr>
            <w:r/>
            <w:r>
              <w:rPr>
                <w:rFonts w:ascii="Times New Roman" w:hAnsi="Times New Roman" w:eastAsia="宋体"/>
                <w:sz w:val="28"/>
              </w:rPr>
              <w:t>单路 HV</w:t>
            </w:r>
          </w:p>
        </w:tc>
        <w:tc>
          <w:tcPr>
            <w:tcW w:type="dxa" w:w="1813"/>
          </w:tcPr>
          <w:p>
            <w:pPr>
              <w:jc w:val="center"/>
            </w:pPr>
            <w:r/>
            <w:r>
              <w:rPr>
                <w:rFonts w:ascii="Times New Roman" w:hAnsi="Times New Roman" w:eastAsia="宋体"/>
                <w:sz w:val="28"/>
              </w:rPr>
              <w:t>单路 HV</w:t>
            </w:r>
          </w:p>
        </w:tc>
        <w:tc>
          <w:tcPr>
            <w:tcW w:type="dxa" w:w="1813"/>
          </w:tcPr>
          <w:p>
            <w:pPr>
              <w:jc w:val="center"/>
            </w:pPr>
            <w:r/>
            <w:r>
              <w:rPr>
                <w:rFonts w:ascii="Times New Roman" w:hAnsi="Times New Roman" w:eastAsia="宋体"/>
                <w:sz w:val="28"/>
              </w:rPr>
              <w:t>单路 HV</w:t>
            </w:r>
          </w:p>
        </w:tc>
        <w:tc>
          <w:tcPr>
            <w:tcW w:type="dxa" w:w="1813"/>
          </w:tcPr>
          <w:p>
            <w:pPr>
              <w:jc w:val="center"/>
            </w:pPr>
            <w:r/>
            <w:r>
              <w:rPr>
                <w:rFonts w:ascii="Times New Roman" w:hAnsi="Times New Roman" w:eastAsia="宋体"/>
                <w:sz w:val="28"/>
              </w:rPr>
              <w:t>三路独立供电</w:t>
            </w:r>
          </w:p>
        </w:tc>
      </w:tr>
      <w:tr>
        <w:tc>
          <w:tcPr>
            <w:tcW w:type="dxa" w:w="1813"/>
          </w:tcPr>
          <w:p>
            <w:pPr>
              <w:jc w:val="center"/>
            </w:pPr>
            <w:r/>
            <w:r>
              <w:rPr>
                <w:rFonts w:ascii="Times New Roman" w:hAnsi="Times New Roman" w:eastAsia="宋体"/>
                <w:sz w:val="28"/>
              </w:rPr>
              <w:t>集成度与便携性</w:t>
            </w:r>
          </w:p>
        </w:tc>
        <w:tc>
          <w:tcPr>
            <w:tcW w:type="dxa" w:w="1813"/>
          </w:tcPr>
          <w:p>
            <w:pPr>
              <w:jc w:val="center"/>
            </w:pPr>
            <w:r/>
            <w:r>
              <w:rPr>
                <w:rFonts w:ascii="Times New Roman" w:hAnsi="Times New Roman" w:eastAsia="宋体"/>
                <w:sz w:val="28"/>
              </w:rPr>
              <w:t>阴极尺寸 16″H×17″W</w:t>
            </w:r>
          </w:p>
        </w:tc>
        <w:tc>
          <w:tcPr>
            <w:tcW w:type="dxa" w:w="1813"/>
          </w:tcPr>
          <w:p>
            <w:pPr>
              <w:jc w:val="center"/>
            </w:pPr>
            <w:r/>
            <w:r>
              <w:rPr>
                <w:rFonts w:ascii="Times New Roman" w:hAnsi="Times New Roman" w:eastAsia="宋体"/>
                <w:sz w:val="28"/>
              </w:rPr>
              <w:t>模块约 44×41×132 mm</w:t>
            </w:r>
          </w:p>
        </w:tc>
        <w:tc>
          <w:tcPr>
            <w:tcW w:type="dxa" w:w="1813"/>
          </w:tcPr>
          <w:p>
            <w:pPr>
              <w:jc w:val="center"/>
            </w:pPr>
            <w:r/>
            <w:r>
              <w:rPr>
                <w:rFonts w:ascii="Times New Roman" w:hAnsi="Times New Roman" w:eastAsia="宋体"/>
                <w:sz w:val="28"/>
              </w:rPr>
              <w:t>模块约 145×51×145 mm</w:t>
            </w:r>
          </w:p>
        </w:tc>
        <w:tc>
          <w:tcPr>
            <w:tcW w:type="dxa" w:w="1813"/>
          </w:tcPr>
          <w:p>
            <w:pPr>
              <w:jc w:val="center"/>
            </w:pPr>
            <w:r/>
            <w:r>
              <w:rPr>
                <w:rFonts w:ascii="Times New Roman" w:hAnsi="Times New Roman" w:eastAsia="宋体"/>
                <w:sz w:val="28"/>
              </w:rPr>
              <w:t>整机 350×320×300 mm，&lt;15 kg</w:t>
            </w:r>
          </w:p>
        </w:tc>
      </w:tr>
      <w:tr>
        <w:tc>
          <w:tcPr>
            <w:tcW w:type="dxa" w:w="1813"/>
          </w:tcPr>
          <w:p>
            <w:pPr>
              <w:jc w:val="center"/>
            </w:pPr>
            <w:r/>
            <w:r>
              <w:rPr>
                <w:rFonts w:ascii="Times New Roman" w:hAnsi="Times New Roman" w:eastAsia="宋体"/>
                <w:sz w:val="28"/>
              </w:rPr>
              <w:t>软件与控制</w:t>
            </w:r>
          </w:p>
        </w:tc>
        <w:tc>
          <w:tcPr>
            <w:tcW w:type="dxa" w:w="1813"/>
          </w:tcPr>
          <w:p>
            <w:pPr>
              <w:jc w:val="center"/>
            </w:pPr>
            <w:r/>
            <w:r>
              <w:rPr>
                <w:rFonts w:ascii="Times New Roman" w:hAnsi="Times New Roman" w:eastAsia="宋体"/>
                <w:sz w:val="28"/>
              </w:rPr>
              <w:t>仅数字接口，需自研上位机</w:t>
            </w:r>
          </w:p>
        </w:tc>
        <w:tc>
          <w:tcPr>
            <w:tcW w:type="dxa" w:w="1813"/>
          </w:tcPr>
          <w:p>
            <w:pPr>
              <w:jc w:val="center"/>
            </w:pPr>
            <w:r/>
            <w:r>
              <w:rPr>
                <w:rFonts w:ascii="Times New Roman" w:hAnsi="Times New Roman" w:eastAsia="宋体"/>
                <w:sz w:val="28"/>
              </w:rPr>
              <w:t>可选 RS-232/485，无配套软件</w:t>
            </w:r>
          </w:p>
        </w:tc>
        <w:tc>
          <w:tcPr>
            <w:tcW w:type="dxa" w:w="1813"/>
          </w:tcPr>
          <w:p>
            <w:pPr>
              <w:jc w:val="center"/>
            </w:pPr>
            <w:r/>
            <w:r>
              <w:rPr>
                <w:rFonts w:ascii="Times New Roman" w:hAnsi="Times New Roman" w:eastAsia="宋体"/>
                <w:sz w:val="28"/>
              </w:rPr>
              <w:t>0—10 V 模拟，可选数字</w:t>
            </w:r>
          </w:p>
        </w:tc>
        <w:tc>
          <w:tcPr>
            <w:tcW w:type="dxa" w:w="1813"/>
          </w:tcPr>
          <w:p>
            <w:pPr>
              <w:jc w:val="center"/>
            </w:pPr>
            <w:r/>
            <w:r>
              <w:rPr>
                <w:rFonts w:ascii="Times New Roman" w:hAnsi="Times New Roman" w:eastAsia="宋体"/>
                <w:sz w:val="28"/>
              </w:rPr>
              <w:t>自研 C++/Qt + Modbus + RS485</w:t>
            </w:r>
          </w:p>
        </w:tc>
      </w:tr>
      <w:tr>
        <w:tc>
          <w:tcPr>
            <w:tcW w:type="dxa" w:w="1813"/>
          </w:tcPr>
          <w:p>
            <w:pPr>
              <w:jc w:val="center"/>
            </w:pPr>
            <w:r/>
            <w:r>
              <w:rPr>
                <w:rFonts w:ascii="Times New Roman" w:hAnsi="Times New Roman" w:eastAsia="宋体"/>
                <w:sz w:val="28"/>
              </w:rPr>
              <w:t>定价</w:t>
            </w:r>
          </w:p>
        </w:tc>
        <w:tc>
          <w:tcPr>
            <w:tcW w:type="dxa" w:w="1813"/>
          </w:tcPr>
          <w:p>
            <w:pPr>
              <w:jc w:val="center"/>
            </w:pPr>
            <w:r/>
            <w:r>
              <w:rPr>
                <w:rFonts w:ascii="Times New Roman" w:hAnsi="Times New Roman" w:eastAsia="宋体"/>
                <w:sz w:val="28"/>
              </w:rPr>
              <w:t>≥30 万元</w:t>
            </w:r>
          </w:p>
        </w:tc>
        <w:tc>
          <w:tcPr>
            <w:tcW w:type="dxa" w:w="1813"/>
          </w:tcPr>
          <w:p>
            <w:pPr>
              <w:jc w:val="center"/>
            </w:pPr>
            <w:r/>
            <w:r>
              <w:rPr>
                <w:rFonts w:ascii="Times New Roman" w:hAnsi="Times New Roman" w:eastAsia="宋体"/>
                <w:sz w:val="28"/>
              </w:rPr>
              <w:t>1—2 万元/模块</w:t>
            </w:r>
          </w:p>
        </w:tc>
        <w:tc>
          <w:tcPr>
            <w:tcW w:type="dxa" w:w="1813"/>
          </w:tcPr>
          <w:p>
            <w:pPr>
              <w:jc w:val="center"/>
            </w:pPr>
            <w:r/>
            <w:r>
              <w:rPr>
                <w:rFonts w:ascii="Times New Roman" w:hAnsi="Times New Roman" w:eastAsia="宋体"/>
                <w:sz w:val="28"/>
              </w:rPr>
              <w:t>模块销售为主</w:t>
            </w:r>
          </w:p>
        </w:tc>
        <w:tc>
          <w:tcPr>
            <w:tcW w:type="dxa" w:w="1813"/>
          </w:tcPr>
          <w:p>
            <w:pPr>
              <w:jc w:val="center"/>
            </w:pPr>
            <w:r/>
            <w:r>
              <w:rPr>
                <w:rFonts w:ascii="Times New Roman" w:hAnsi="Times New Roman" w:eastAsia="宋体"/>
                <w:sz w:val="28"/>
              </w:rPr>
              <w:t>25 万元/套（较国际低 15%）</w:t>
            </w:r>
          </w:p>
        </w:tc>
      </w:tr>
      <w:tr>
        <w:tc>
          <w:tcPr>
            <w:tcW w:type="dxa" w:w="1813"/>
          </w:tcPr>
          <w:p>
            <w:pPr>
              <w:jc w:val="center"/>
            </w:pPr>
            <w:r/>
            <w:r>
              <w:rPr>
                <w:rFonts w:ascii="Times New Roman" w:hAnsi="Times New Roman" w:eastAsia="宋体"/>
                <w:sz w:val="28"/>
              </w:rPr>
              <w:t>商业模式</w:t>
            </w:r>
          </w:p>
        </w:tc>
        <w:tc>
          <w:tcPr>
            <w:tcW w:type="dxa" w:w="1813"/>
          </w:tcPr>
          <w:p>
            <w:pPr>
              <w:jc w:val="center"/>
            </w:pPr>
            <w:r/>
            <w:r>
              <w:rPr>
                <w:rFonts w:ascii="Times New Roman" w:hAnsi="Times New Roman" w:eastAsia="宋体"/>
                <w:sz w:val="28"/>
              </w:rPr>
              <w:t>纯产品销售</w:t>
            </w:r>
          </w:p>
        </w:tc>
        <w:tc>
          <w:tcPr>
            <w:tcW w:type="dxa" w:w="1813"/>
          </w:tcPr>
          <w:p>
            <w:pPr>
              <w:jc w:val="center"/>
            </w:pPr>
            <w:r/>
            <w:r>
              <w:rPr>
                <w:rFonts w:ascii="Times New Roman" w:hAnsi="Times New Roman" w:eastAsia="宋体"/>
                <w:sz w:val="28"/>
              </w:rPr>
              <w:t>OEM 为主</w:t>
            </w:r>
          </w:p>
        </w:tc>
        <w:tc>
          <w:tcPr>
            <w:tcW w:type="dxa" w:w="1813"/>
          </w:tcPr>
          <w:p>
            <w:pPr>
              <w:jc w:val="center"/>
            </w:pPr>
            <w:r/>
            <w:r>
              <w:rPr>
                <w:rFonts w:ascii="Times New Roman" w:hAnsi="Times New Roman" w:eastAsia="宋体"/>
                <w:sz w:val="28"/>
              </w:rPr>
              <w:t>模块销售</w:t>
            </w:r>
          </w:p>
        </w:tc>
        <w:tc>
          <w:tcPr>
            <w:tcW w:type="dxa" w:w="1813"/>
          </w:tcPr>
          <w:p>
            <w:pPr>
              <w:jc w:val="center"/>
            </w:pPr>
            <w:r/>
            <w:r>
              <w:rPr>
                <w:rFonts w:ascii="Times New Roman" w:hAnsi="Times New Roman" w:eastAsia="宋体"/>
                <w:sz w:val="28"/>
              </w:rPr>
              <w:t>产品+按项目收费+长期运维</w:t>
            </w:r>
          </w:p>
        </w:tc>
      </w:tr>
    </w:tbl>
    <w:p>
      <w:pPr>
        <w:spacing w:line="560" w:lineRule="exact" w:before="0" w:after="0"/>
        <w:jc w:val="both"/>
      </w:pPr>
      <w:r>
        <w:rPr>
          <w:rFonts w:ascii="Times New Roman" w:hAnsi="Times New Roman" w:eastAsia="宋体"/>
          <w:sz w:val="28"/>
        </w:rPr>
        <w:t>波特五力简析方面，现有竞争强度中等，国际厂商定位高端、国内厂商专注模块，"小型集成 + 软件配套"赛道存在产品空白；潜在进入者威胁低，技术、人才、资质、品牌四重壁垒高；替代品威胁中低，短期内无颠覆性替代方案；上游议价能力中等，核心器件国产化降低上游依赖；下游议价能力中高，客户决策严格，需通过试用与标杆案例突破。</w:t>
      </w:r>
    </w:p>
    <w:p>
      <w:pPr>
        <w:spacing w:line="560" w:lineRule="exact" w:before="0" w:after="0"/>
        <w:jc w:val="center"/>
      </w:pPr>
      <w:r>
        <w:rPr>
          <w:rFonts w:ascii="Times New Roman" w:hAnsi="Times New Roman" w:eastAsia="黑体"/>
          <w:sz w:val="24"/>
        </w:rPr>
        <w:t>表4.3 SWOT 分析</w:t>
      </w:r>
    </w:p>
    <w:tbl>
      <w:tblPr>
        <w:tblStyle w:val="TableGrid"/>
        <w:tblW w:type="auto" w:w="0"/>
        <w:jc w:val="center"/>
        <w:tblLook w:firstColumn="1" w:firstRow="1" w:lastColumn="0" w:lastRow="0" w:noHBand="0" w:noVBand="1" w:val="04A0"/>
      </w:tblPr>
      <w:tblGrid>
        <w:gridCol w:w="4533"/>
        <w:gridCol w:w="4533"/>
      </w:tblGrid>
      <w:tr>
        <w:tc>
          <w:tcPr>
            <w:tcW w:type="dxa" w:w="4533"/>
          </w:tcPr>
          <w:p>
            <w:pPr>
              <w:jc w:val="center"/>
            </w:pPr>
            <w:r/>
            <w:r>
              <w:rPr>
                <w:rFonts w:ascii="Times New Roman" w:hAnsi="Times New Roman" w:eastAsia="宋体"/>
                <w:b/>
                <w:sz w:val="28"/>
              </w:rPr>
              <w:t>维度</w:t>
            </w:r>
          </w:p>
        </w:tc>
        <w:tc>
          <w:tcPr>
            <w:tcW w:type="dxa" w:w="4533"/>
          </w:tcPr>
          <w:p>
            <w:pPr>
              <w:jc w:val="center"/>
            </w:pPr>
            <w:r/>
            <w:r>
              <w:rPr>
                <w:rFonts w:ascii="Times New Roman" w:hAnsi="Times New Roman" w:eastAsia="宋体"/>
                <w:b/>
                <w:sz w:val="28"/>
              </w:rPr>
              <w:t>内容</w:t>
            </w:r>
          </w:p>
        </w:tc>
      </w:tr>
      <w:tr>
        <w:tc>
          <w:tcPr>
            <w:tcW w:type="dxa" w:w="4533"/>
          </w:tcPr>
          <w:p>
            <w:pPr>
              <w:jc w:val="center"/>
            </w:pPr>
            <w:r/>
            <w:r>
              <w:rPr>
                <w:rFonts w:ascii="Times New Roman" w:hAnsi="Times New Roman" w:eastAsia="宋体"/>
                <w:sz w:val="28"/>
              </w:rPr>
              <w:t>Strengths（优势）</w:t>
            </w:r>
          </w:p>
        </w:tc>
        <w:tc>
          <w:tcPr>
            <w:tcW w:type="dxa" w:w="4533"/>
          </w:tcPr>
          <w:p>
            <w:pPr>
              <w:jc w:val="center"/>
            </w:pPr>
            <w:r/>
            <w:r>
              <w:rPr>
                <w:rFonts w:ascii="Times New Roman" w:hAnsi="Times New Roman" w:eastAsia="宋体"/>
                <w:sz w:val="28"/>
              </w:rPr>
              <w:t>三合一集成 + 软硬件耦合 + 价格 15% 优势 + 自主知识产权</w:t>
            </w:r>
          </w:p>
        </w:tc>
      </w:tr>
      <w:tr>
        <w:tc>
          <w:tcPr>
            <w:tcW w:type="dxa" w:w="4533"/>
          </w:tcPr>
          <w:p>
            <w:pPr>
              <w:jc w:val="center"/>
            </w:pPr>
            <w:r/>
            <w:r>
              <w:rPr>
                <w:rFonts w:ascii="Times New Roman" w:hAnsi="Times New Roman" w:eastAsia="宋体"/>
                <w:sz w:val="28"/>
              </w:rPr>
              <w:t>Weaknesses（劣势）</w:t>
            </w:r>
          </w:p>
        </w:tc>
        <w:tc>
          <w:tcPr>
            <w:tcW w:type="dxa" w:w="4533"/>
          </w:tcPr>
          <w:p>
            <w:pPr>
              <w:jc w:val="center"/>
            </w:pPr>
            <w:r/>
            <w:r>
              <w:rPr>
                <w:rFonts w:ascii="Times New Roman" w:hAnsi="Times New Roman" w:eastAsia="宋体"/>
                <w:sz w:val="28"/>
              </w:rPr>
              <w:t>初创公司品牌弱 + 资金有限 + 量产经验少</w:t>
            </w:r>
          </w:p>
        </w:tc>
      </w:tr>
      <w:tr>
        <w:tc>
          <w:tcPr>
            <w:tcW w:type="dxa" w:w="4533"/>
          </w:tcPr>
          <w:p>
            <w:pPr>
              <w:jc w:val="center"/>
            </w:pPr>
            <w:r/>
            <w:r>
              <w:rPr>
                <w:rFonts w:ascii="Times New Roman" w:hAnsi="Times New Roman" w:eastAsia="宋体"/>
                <w:sz w:val="28"/>
              </w:rPr>
              <w:t>Opportunities（机会）</w:t>
            </w:r>
          </w:p>
        </w:tc>
        <w:tc>
          <w:tcPr>
            <w:tcW w:type="dxa" w:w="4533"/>
          </w:tcPr>
          <w:p>
            <w:pPr>
              <w:jc w:val="center"/>
            </w:pPr>
            <w:r/>
            <w:r>
              <w:rPr>
                <w:rFonts w:ascii="Times New Roman" w:hAnsi="Times New Roman" w:eastAsia="宋体"/>
                <w:sz w:val="28"/>
              </w:rPr>
              <w:t>国产替代政策 + 小型化趋势 + 中子发生器市场空白</w:t>
            </w:r>
          </w:p>
        </w:tc>
      </w:tr>
      <w:tr>
        <w:tc>
          <w:tcPr>
            <w:tcW w:type="dxa" w:w="4533"/>
          </w:tcPr>
          <w:p>
            <w:pPr>
              <w:jc w:val="center"/>
            </w:pPr>
            <w:r/>
            <w:r>
              <w:rPr>
                <w:rFonts w:ascii="Times New Roman" w:hAnsi="Times New Roman" w:eastAsia="宋体"/>
                <w:sz w:val="28"/>
              </w:rPr>
              <w:t>Threats（威胁）</w:t>
            </w:r>
          </w:p>
        </w:tc>
        <w:tc>
          <w:tcPr>
            <w:tcW w:type="dxa" w:w="4533"/>
          </w:tcPr>
          <w:p>
            <w:pPr>
              <w:jc w:val="center"/>
            </w:pPr>
            <w:r/>
            <w:r>
              <w:rPr>
                <w:rFonts w:ascii="Times New Roman" w:hAnsi="Times New Roman" w:eastAsia="宋体"/>
                <w:sz w:val="28"/>
              </w:rPr>
              <w:t>国际厂商下沉 + 政策合规 + 国际贸易摩擦</w:t>
            </w:r>
          </w:p>
        </w:tc>
      </w:tr>
    </w:tbl>
    <w:p>
      <w:pPr>
        <w:spacing w:line="560" w:lineRule="exact" w:before="0" w:after="0"/>
        <w:jc w:val="left"/>
      </w:pPr>
      <w:r>
        <w:rPr>
          <w:rFonts w:ascii="Times New Roman" w:hAnsi="Times New Roman" w:eastAsia="黑体"/>
          <w:b w:val="0"/>
          <w:sz w:val="32"/>
        </w:rPr>
        <w:t>五、商业模式</w:t>
      </w:r>
    </w:p>
    <w:p>
      <w:pPr>
        <w:spacing w:line="560" w:lineRule="exact" w:before="0" w:after="0"/>
        <w:jc w:val="left"/>
      </w:pPr>
      <w:r>
        <w:rPr>
          <w:rFonts w:ascii="Times New Roman" w:hAnsi="Times New Roman" w:eastAsia="楷体"/>
          <w:sz w:val="32"/>
        </w:rPr>
        <w:t>1. 盈利模式</w:t>
      </w:r>
    </w:p>
    <w:p>
      <w:pPr>
        <w:spacing w:line="560" w:lineRule="exact" w:before="0" w:after="0"/>
        <w:jc w:val="both"/>
      </w:pPr>
      <w:r>
        <w:rPr>
          <w:rFonts w:ascii="Times New Roman" w:hAnsi="Times New Roman" w:eastAsia="宋体"/>
          <w:sz w:val="28"/>
        </w:rPr>
        <w:t>公司盈利模式由三层结构构成。第一层为标准化产品销售，以"通用小型静电高压发生器及控制系统"为核心 SKU，单套 25 万元，面向射线源整机厂商、系统集成商与终端客户直接销售。第二层为按项目收费的技术服务，针对特殊参数提供定制开发与系统集成，按工时与项目复杂度计费，单项目 5—30 万元。第三层为长期运维与升级订阅，年度预防性维护合同、固件 OTA 升级、备件供应与远程诊断订阅，单客户年均增值 1—3 万元。三层叠加形成长期可持续现金流。</w:t>
      </w:r>
    </w:p>
    <w:p>
      <w:pPr>
        <w:spacing w:line="560" w:lineRule="exact" w:before="0" w:after="0"/>
        <w:jc w:val="left"/>
      </w:pPr>
      <w:r>
        <w:rPr>
          <w:rFonts w:ascii="Times New Roman" w:hAnsi="Times New Roman" w:eastAsia="楷体"/>
          <w:sz w:val="32"/>
        </w:rPr>
        <w:t>2. 运营模式</w:t>
      </w:r>
    </w:p>
    <w:p>
      <w:pPr>
        <w:spacing w:line="560" w:lineRule="exact" w:before="0" w:after="0"/>
        <w:jc w:val="both"/>
      </w:pPr>
      <w:r>
        <w:rPr>
          <w:rFonts w:ascii="Times New Roman" w:hAnsi="Times New Roman" w:eastAsia="宋体"/>
          <w:sz w:val="28"/>
        </w:rPr>
        <w:t>公司采用"研发 + 市场 + 运营"三位一体扁平化组织，由总经理统筹，下设三位副总经理分管核心业务线，配套人力资源、财务行政、法务合规、信息技术四大职能部门。项目执行遵循"研发—验证—落地—反馈"闭环：研发部完成模块迭代后由产品团队组织内部需求评审与用户访谈，工程团队进行原型验证与现场部署；每阶段成果通过例会复盘，将客户使用反馈纳入下一轮迭代。前 5 年保持职能型组织以聚焦单一产品线，5 年后随产品线丰富适时调整为事业部制。</w:t>
      </w:r>
    </w:p>
    <w:p>
      <w:pPr>
        <w:spacing w:line="560" w:lineRule="exact" w:before="0" w:after="0"/>
        <w:jc w:val="left"/>
      </w:pPr>
      <w:r>
        <w:rPr>
          <w:rFonts w:ascii="Times New Roman" w:hAnsi="Times New Roman" w:eastAsia="楷体"/>
          <w:sz w:val="32"/>
        </w:rPr>
        <w:t>3. 营销策略</w:t>
      </w:r>
    </w:p>
    <w:p>
      <w:pPr>
        <w:spacing w:line="560" w:lineRule="exact" w:before="0" w:after="0"/>
        <w:jc w:val="both"/>
      </w:pPr>
      <w:r>
        <w:rPr>
          <w:rFonts w:ascii="Times New Roman" w:hAnsi="Times New Roman" w:eastAsia="宋体"/>
          <w:sz w:val="28"/>
        </w:rPr>
        <w:t>营销策略遵循商业模式画布九要素布局。关键合作伙伴包括高校实验室、辐射装置生产调试资质单位、行业系统集成商、地方科创基金；关键活动包括研发迭代、合规认证、现场试点、行业展会与内容营销；关键资源包括核心专利与软著、自研软件平台、稳定供应链、专业研发团队；价值主张为国产化、一体化、便携化、可远程、低成本（较国际低 15%）；客户关系采用定制化售前咨询 + 标杆客户陪跑 + 长期运维订阅；渠道采用直销 + 行业代理 + 展会 + B2B 内容营销；客户细分覆盖医疗影像、工业检测、海关安检、应急救援、科研机构；成本结构包括研发投入、人员薪酬、生产制造、市场推广、合规认证；收入来源为产品销售 + 技术服务 + 运维订阅。</w:t>
      </w:r>
    </w:p>
    <w:p>
      <w:pPr>
        <w:spacing w:line="560" w:lineRule="exact" w:before="0" w:after="0"/>
        <w:jc w:val="left"/>
      </w:pPr>
      <w:r>
        <w:rPr>
          <w:rFonts w:ascii="Times New Roman" w:hAnsi="Times New Roman" w:eastAsia="黑体"/>
          <w:b w:val="0"/>
          <w:sz w:val="32"/>
        </w:rPr>
        <w:t>六、团队介绍</w:t>
      </w:r>
    </w:p>
    <w:p>
      <w:pPr>
        <w:spacing w:line="560" w:lineRule="exact" w:before="0" w:after="0"/>
        <w:jc w:val="left"/>
      </w:pPr>
      <w:r>
        <w:rPr>
          <w:rFonts w:ascii="Times New Roman" w:hAnsi="Times New Roman" w:eastAsia="楷体"/>
          <w:sz w:val="32"/>
        </w:rPr>
        <w:t>1. 团队组成</w:t>
      </w:r>
    </w:p>
    <w:p>
      <w:pPr>
        <w:spacing w:line="560" w:lineRule="exact" w:before="0" w:after="0"/>
        <w:jc w:val="both"/>
      </w:pPr>
      <w:r>
        <w:rPr>
          <w:rFonts w:ascii="Times New Roman" w:hAnsi="Times New Roman" w:eastAsia="宋体"/>
          <w:sz w:val="28"/>
        </w:rPr>
        <w:t>核心团队成员矩阵见表 6.1。</w:t>
      </w:r>
    </w:p>
    <w:p>
      <w:pPr>
        <w:spacing w:line="560" w:lineRule="exact" w:before="0" w:after="0"/>
        <w:jc w:val="center"/>
      </w:pPr>
      <w:r>
        <w:rPr>
          <w:rFonts w:ascii="Times New Roman" w:hAnsi="Times New Roman" w:eastAsia="黑体"/>
          <w:sz w:val="24"/>
        </w:rPr>
        <w:t>表6.1 核心团队成员矩阵</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
              <w:rPr>
                <w:rFonts w:ascii="Times New Roman" w:hAnsi="Times New Roman" w:eastAsia="宋体"/>
                <w:b/>
                <w:sz w:val="28"/>
              </w:rPr>
              <w:t>姓名</w:t>
            </w:r>
          </w:p>
        </w:tc>
        <w:tc>
          <w:tcPr>
            <w:tcW w:type="dxa" w:w="1813"/>
          </w:tcPr>
          <w:p>
            <w:pPr>
              <w:jc w:val="center"/>
            </w:pPr>
            <w:r/>
            <w:r>
              <w:rPr>
                <w:rFonts w:ascii="Times New Roman" w:hAnsi="Times New Roman" w:eastAsia="宋体"/>
                <w:b/>
                <w:sz w:val="28"/>
              </w:rPr>
              <w:t>学历背景</w:t>
            </w:r>
          </w:p>
        </w:tc>
        <w:tc>
          <w:tcPr>
            <w:tcW w:type="dxa" w:w="1813"/>
          </w:tcPr>
          <w:p>
            <w:pPr>
              <w:jc w:val="center"/>
            </w:pPr>
            <w:r/>
            <w:r>
              <w:rPr>
                <w:rFonts w:ascii="Times New Roman" w:hAnsi="Times New Roman" w:eastAsia="宋体"/>
                <w:b/>
                <w:sz w:val="28"/>
              </w:rPr>
              <w:t>核心能力</w:t>
            </w:r>
          </w:p>
        </w:tc>
        <w:tc>
          <w:tcPr>
            <w:tcW w:type="dxa" w:w="1813"/>
          </w:tcPr>
          <w:p>
            <w:pPr>
              <w:jc w:val="center"/>
            </w:pPr>
            <w:r/>
            <w:r>
              <w:rPr>
                <w:rFonts w:ascii="Times New Roman" w:hAnsi="Times New Roman" w:eastAsia="宋体"/>
                <w:b/>
                <w:sz w:val="28"/>
              </w:rPr>
              <w:t>项目角色</w:t>
            </w:r>
          </w:p>
        </w:tc>
        <w:tc>
          <w:tcPr>
            <w:tcW w:type="dxa" w:w="1813"/>
          </w:tcPr>
          <w:p>
            <w:pPr>
              <w:jc w:val="center"/>
            </w:pPr>
            <w:r/>
            <w:r>
              <w:rPr>
                <w:rFonts w:ascii="Times New Roman" w:hAnsi="Times New Roman" w:eastAsia="宋体"/>
                <w:b/>
                <w:sz w:val="28"/>
              </w:rPr>
              <w:t>与项目相关性</w:t>
            </w:r>
          </w:p>
        </w:tc>
      </w:tr>
      <w:tr>
        <w:tc>
          <w:tcPr>
            <w:tcW w:type="dxa" w:w="1813"/>
          </w:tcPr>
          <w:p>
            <w:pPr>
              <w:jc w:val="center"/>
            </w:pPr>
            <w:r/>
            <w:r>
              <w:rPr>
                <w:rFonts w:ascii="Times New Roman" w:hAnsi="Times New Roman" w:eastAsia="宋体"/>
                <w:sz w:val="28"/>
              </w:rPr>
              <w:t>刘海远（负责人）</w:t>
            </w:r>
          </w:p>
        </w:tc>
        <w:tc>
          <w:tcPr>
            <w:tcW w:type="dxa" w:w="1813"/>
          </w:tcPr>
          <w:p>
            <w:pPr>
              <w:jc w:val="center"/>
            </w:pPr>
            <w:r/>
            <w:r>
              <w:rPr>
                <w:rFonts w:ascii="Times New Roman" w:hAnsi="Times New Roman" w:eastAsia="宋体"/>
                <w:sz w:val="28"/>
              </w:rPr>
              <w:t>研究生</w:t>
            </w:r>
          </w:p>
        </w:tc>
        <w:tc>
          <w:tcPr>
            <w:tcW w:type="dxa" w:w="1813"/>
          </w:tcPr>
          <w:p>
            <w:pPr>
              <w:jc w:val="center"/>
            </w:pPr>
            <w:r/>
            <w:r>
              <w:rPr>
                <w:rFonts w:ascii="Times New Roman" w:hAnsi="Times New Roman" w:eastAsia="宋体"/>
                <w:sz w:val="28"/>
              </w:rPr>
              <w:t>系统架构、项目管理、医学影像</w:t>
            </w:r>
          </w:p>
        </w:tc>
        <w:tc>
          <w:tcPr>
            <w:tcW w:type="dxa" w:w="1813"/>
          </w:tcPr>
          <w:p>
            <w:pPr>
              <w:jc w:val="center"/>
            </w:pPr>
            <w:r/>
            <w:r>
              <w:rPr>
                <w:rFonts w:ascii="Times New Roman" w:hAnsi="Times New Roman" w:eastAsia="宋体"/>
                <w:sz w:val="28"/>
              </w:rPr>
              <w:t>CEO，统筹研发与商务</w:t>
            </w:r>
          </w:p>
        </w:tc>
        <w:tc>
          <w:tcPr>
            <w:tcW w:type="dxa" w:w="1813"/>
          </w:tcPr>
          <w:p>
            <w:pPr>
              <w:jc w:val="center"/>
            </w:pPr>
            <w:r/>
            <w:r>
              <w:rPr>
                <w:rFonts w:ascii="Times New Roman" w:hAnsi="Times New Roman" w:eastAsia="宋体"/>
                <w:sz w:val="28"/>
              </w:rPr>
              <w:t>主导多项国家级、省级竞赛获奖；省级双创项目负责人</w:t>
            </w:r>
          </w:p>
        </w:tc>
      </w:tr>
      <w:tr>
        <w:tc>
          <w:tcPr>
            <w:tcW w:type="dxa" w:w="1813"/>
          </w:tcPr>
          <w:p>
            <w:pPr>
              <w:jc w:val="center"/>
            </w:pPr>
            <w:r/>
            <w:r>
              <w:rPr>
                <w:rFonts w:ascii="Times New Roman" w:hAnsi="Times New Roman" w:eastAsia="宋体"/>
                <w:sz w:val="28"/>
              </w:rPr>
              <w:t>李永麒</w:t>
            </w:r>
          </w:p>
        </w:tc>
        <w:tc>
          <w:tcPr>
            <w:tcW w:type="dxa" w:w="1813"/>
          </w:tcPr>
          <w:p>
            <w:pPr>
              <w:jc w:val="center"/>
            </w:pPr>
            <w:r/>
            <w:r>
              <w:rPr>
                <w:rFonts w:ascii="Times New Roman" w:hAnsi="Times New Roman" w:eastAsia="宋体"/>
                <w:sz w:val="28"/>
              </w:rPr>
              <w:t>研究生</w:t>
            </w:r>
          </w:p>
        </w:tc>
        <w:tc>
          <w:tcPr>
            <w:tcW w:type="dxa" w:w="1813"/>
          </w:tcPr>
          <w:p>
            <w:pPr>
              <w:jc w:val="center"/>
            </w:pPr>
            <w:r/>
            <w:r>
              <w:rPr>
                <w:rFonts w:ascii="Times New Roman" w:hAnsi="Times New Roman" w:eastAsia="宋体"/>
                <w:sz w:val="28"/>
              </w:rPr>
              <w:t>硬件电路、高压拓扑、EMC</w:t>
            </w:r>
          </w:p>
        </w:tc>
        <w:tc>
          <w:tcPr>
            <w:tcW w:type="dxa" w:w="1813"/>
          </w:tcPr>
          <w:p>
            <w:pPr>
              <w:jc w:val="center"/>
            </w:pPr>
            <w:r/>
            <w:r>
              <w:rPr>
                <w:rFonts w:ascii="Times New Roman" w:hAnsi="Times New Roman" w:eastAsia="宋体"/>
                <w:sz w:val="28"/>
              </w:rPr>
              <w:t>硬件主管</w:t>
            </w:r>
          </w:p>
        </w:tc>
        <w:tc>
          <w:tcPr>
            <w:tcW w:type="dxa" w:w="1813"/>
          </w:tcPr>
          <w:p>
            <w:pPr>
              <w:jc w:val="center"/>
            </w:pPr>
            <w:r/>
            <w:r>
              <w:rPr>
                <w:rFonts w:ascii="Times New Roman" w:hAnsi="Times New Roman" w:eastAsia="宋体"/>
                <w:sz w:val="28"/>
              </w:rPr>
              <w:t>主导超高压与一般高压模块研发，参与申专利 1 项</w:t>
            </w:r>
          </w:p>
        </w:tc>
      </w:tr>
      <w:tr>
        <w:tc>
          <w:tcPr>
            <w:tcW w:type="dxa" w:w="1813"/>
          </w:tcPr>
          <w:p>
            <w:pPr>
              <w:jc w:val="center"/>
            </w:pPr>
            <w:r/>
            <w:r>
              <w:rPr>
                <w:rFonts w:ascii="Times New Roman" w:hAnsi="Times New Roman" w:eastAsia="宋体"/>
                <w:sz w:val="28"/>
              </w:rPr>
              <w:t>周士晴</w:t>
            </w:r>
          </w:p>
        </w:tc>
        <w:tc>
          <w:tcPr>
            <w:tcW w:type="dxa" w:w="1813"/>
          </w:tcPr>
          <w:p>
            <w:pPr>
              <w:jc w:val="center"/>
            </w:pPr>
            <w:r/>
            <w:r>
              <w:rPr>
                <w:rFonts w:ascii="Times New Roman" w:hAnsi="Times New Roman" w:eastAsia="宋体"/>
                <w:sz w:val="28"/>
              </w:rPr>
              <w:t>研究生</w:t>
            </w:r>
          </w:p>
        </w:tc>
        <w:tc>
          <w:tcPr>
            <w:tcW w:type="dxa" w:w="1813"/>
          </w:tcPr>
          <w:p>
            <w:pPr>
              <w:jc w:val="center"/>
            </w:pPr>
            <w:r/>
            <w:r>
              <w:rPr>
                <w:rFonts w:ascii="Times New Roman" w:hAnsi="Times New Roman" w:eastAsia="宋体"/>
                <w:sz w:val="28"/>
              </w:rPr>
              <w:t>C++/Qt、工业通信、闭环算法</w:t>
            </w:r>
          </w:p>
        </w:tc>
        <w:tc>
          <w:tcPr>
            <w:tcW w:type="dxa" w:w="1813"/>
          </w:tcPr>
          <w:p>
            <w:pPr>
              <w:jc w:val="center"/>
            </w:pPr>
            <w:r/>
            <w:r>
              <w:rPr>
                <w:rFonts w:ascii="Times New Roman" w:hAnsi="Times New Roman" w:eastAsia="宋体"/>
                <w:sz w:val="28"/>
              </w:rPr>
              <w:t>软件主管</w:t>
            </w:r>
          </w:p>
        </w:tc>
        <w:tc>
          <w:tcPr>
            <w:tcW w:type="dxa" w:w="1813"/>
          </w:tcPr>
          <w:p>
            <w:pPr>
              <w:jc w:val="center"/>
            </w:pPr>
            <w:r/>
            <w:r>
              <w:rPr>
                <w:rFonts w:ascii="Times New Roman" w:hAnsi="Times New Roman" w:eastAsia="宋体"/>
                <w:sz w:val="28"/>
              </w:rPr>
              <w:t>主导上位机控制系统开发，主导软著 1 项</w:t>
            </w:r>
          </w:p>
        </w:tc>
      </w:tr>
      <w:tr>
        <w:tc>
          <w:tcPr>
            <w:tcW w:type="dxa" w:w="1813"/>
          </w:tcPr>
          <w:p>
            <w:pPr>
              <w:jc w:val="center"/>
            </w:pPr>
            <w:r/>
            <w:r>
              <w:rPr>
                <w:rFonts w:ascii="Times New Roman" w:hAnsi="Times New Roman" w:eastAsia="宋体"/>
                <w:sz w:val="28"/>
              </w:rPr>
              <w:t>潘思彤</w:t>
            </w:r>
          </w:p>
        </w:tc>
        <w:tc>
          <w:tcPr>
            <w:tcW w:type="dxa" w:w="1813"/>
          </w:tcPr>
          <w:p>
            <w:pPr>
              <w:jc w:val="center"/>
            </w:pPr>
            <w:r/>
            <w:r>
              <w:rPr>
                <w:rFonts w:ascii="Times New Roman" w:hAnsi="Times New Roman" w:eastAsia="宋体"/>
                <w:sz w:val="28"/>
              </w:rPr>
              <w:t>研究生</w:t>
            </w:r>
          </w:p>
        </w:tc>
        <w:tc>
          <w:tcPr>
            <w:tcW w:type="dxa" w:w="1813"/>
          </w:tcPr>
          <w:p>
            <w:pPr>
              <w:jc w:val="center"/>
            </w:pPr>
            <w:r/>
            <w:r>
              <w:rPr>
                <w:rFonts w:ascii="Times New Roman" w:hAnsi="Times New Roman" w:eastAsia="宋体"/>
                <w:sz w:val="28"/>
              </w:rPr>
              <w:t>系统集成、测试验证、项目管理</w:t>
            </w:r>
          </w:p>
        </w:tc>
        <w:tc>
          <w:tcPr>
            <w:tcW w:type="dxa" w:w="1813"/>
          </w:tcPr>
          <w:p>
            <w:pPr>
              <w:jc w:val="center"/>
            </w:pPr>
            <w:r/>
            <w:r>
              <w:rPr>
                <w:rFonts w:ascii="Times New Roman" w:hAnsi="Times New Roman" w:eastAsia="宋体"/>
                <w:sz w:val="28"/>
              </w:rPr>
              <w:t>测试与项目经理</w:t>
            </w:r>
          </w:p>
        </w:tc>
        <w:tc>
          <w:tcPr>
            <w:tcW w:type="dxa" w:w="1813"/>
          </w:tcPr>
          <w:p>
            <w:pPr>
              <w:jc w:val="center"/>
            </w:pPr>
            <w:r/>
            <w:r>
              <w:rPr>
                <w:rFonts w:ascii="Times New Roman" w:hAnsi="Times New Roman" w:eastAsia="宋体"/>
                <w:sz w:val="28"/>
              </w:rPr>
              <w:t>校企合作课题与"互联网+"省级铜奖经验</w:t>
            </w:r>
          </w:p>
        </w:tc>
      </w:tr>
      <w:tr>
        <w:tc>
          <w:tcPr>
            <w:tcW w:type="dxa" w:w="1813"/>
          </w:tcPr>
          <w:p>
            <w:pPr>
              <w:jc w:val="center"/>
            </w:pPr>
            <w:r/>
            <w:r>
              <w:rPr>
                <w:rFonts w:ascii="Times New Roman" w:hAnsi="Times New Roman" w:eastAsia="宋体"/>
                <w:sz w:val="28"/>
              </w:rPr>
              <w:t>本科成员 A</w:t>
            </w:r>
          </w:p>
        </w:tc>
        <w:tc>
          <w:tcPr>
            <w:tcW w:type="dxa" w:w="1813"/>
          </w:tcPr>
          <w:p>
            <w:pPr>
              <w:jc w:val="center"/>
            </w:pPr>
            <w:r/>
            <w:r>
              <w:rPr>
                <w:rFonts w:ascii="Times New Roman" w:hAnsi="Times New Roman" w:eastAsia="宋体"/>
                <w:sz w:val="28"/>
              </w:rPr>
              <w:t>本科</w:t>
            </w:r>
          </w:p>
        </w:tc>
        <w:tc>
          <w:tcPr>
            <w:tcW w:type="dxa" w:w="1813"/>
          </w:tcPr>
          <w:p>
            <w:pPr>
              <w:jc w:val="center"/>
            </w:pPr>
            <w:r/>
            <w:r>
              <w:rPr>
                <w:rFonts w:ascii="Times New Roman" w:hAnsi="Times New Roman" w:eastAsia="宋体"/>
                <w:sz w:val="28"/>
              </w:rPr>
              <w:t>嵌入式固件、PLC 编程</w:t>
            </w:r>
          </w:p>
        </w:tc>
        <w:tc>
          <w:tcPr>
            <w:tcW w:type="dxa" w:w="1813"/>
          </w:tcPr>
          <w:p>
            <w:pPr>
              <w:jc w:val="center"/>
            </w:pPr>
            <w:r/>
            <w:r>
              <w:rPr>
                <w:rFonts w:ascii="Times New Roman" w:hAnsi="Times New Roman" w:eastAsia="宋体"/>
                <w:sz w:val="28"/>
              </w:rPr>
              <w:t>嵌入式工程师</w:t>
            </w:r>
          </w:p>
        </w:tc>
        <w:tc>
          <w:tcPr>
            <w:tcW w:type="dxa" w:w="1813"/>
          </w:tcPr>
          <w:p>
            <w:pPr>
              <w:jc w:val="center"/>
            </w:pPr>
            <w:r/>
            <w:r>
              <w:rPr>
                <w:rFonts w:ascii="Times New Roman" w:hAnsi="Times New Roman" w:eastAsia="宋体"/>
                <w:sz w:val="28"/>
              </w:rPr>
              <w:t>负责下位机固件与 Modbus 协议实现</w:t>
            </w:r>
          </w:p>
        </w:tc>
      </w:tr>
      <w:tr>
        <w:tc>
          <w:tcPr>
            <w:tcW w:type="dxa" w:w="1813"/>
          </w:tcPr>
          <w:p>
            <w:pPr>
              <w:jc w:val="center"/>
            </w:pPr>
            <w:r/>
            <w:r>
              <w:rPr>
                <w:rFonts w:ascii="Times New Roman" w:hAnsi="Times New Roman" w:eastAsia="宋体"/>
                <w:sz w:val="28"/>
              </w:rPr>
              <w:t>本科成员 B</w:t>
            </w:r>
          </w:p>
        </w:tc>
        <w:tc>
          <w:tcPr>
            <w:tcW w:type="dxa" w:w="1813"/>
          </w:tcPr>
          <w:p>
            <w:pPr>
              <w:jc w:val="center"/>
            </w:pPr>
            <w:r/>
            <w:r>
              <w:rPr>
                <w:rFonts w:ascii="Times New Roman" w:hAnsi="Times New Roman" w:eastAsia="宋体"/>
                <w:sz w:val="28"/>
              </w:rPr>
              <w:t>本科</w:t>
            </w:r>
          </w:p>
        </w:tc>
        <w:tc>
          <w:tcPr>
            <w:tcW w:type="dxa" w:w="1813"/>
          </w:tcPr>
          <w:p>
            <w:pPr>
              <w:jc w:val="center"/>
            </w:pPr>
            <w:r/>
            <w:r>
              <w:rPr>
                <w:rFonts w:ascii="Times New Roman" w:hAnsi="Times New Roman" w:eastAsia="宋体"/>
                <w:sz w:val="28"/>
              </w:rPr>
              <w:t>UI/数据可视化</w:t>
            </w:r>
          </w:p>
        </w:tc>
        <w:tc>
          <w:tcPr>
            <w:tcW w:type="dxa" w:w="1813"/>
          </w:tcPr>
          <w:p>
            <w:pPr>
              <w:jc w:val="center"/>
            </w:pPr>
            <w:r/>
            <w:r>
              <w:rPr>
                <w:rFonts w:ascii="Times New Roman" w:hAnsi="Times New Roman" w:eastAsia="宋体"/>
                <w:sz w:val="28"/>
              </w:rPr>
              <w:t>界面与可视化工程师</w:t>
            </w:r>
          </w:p>
        </w:tc>
        <w:tc>
          <w:tcPr>
            <w:tcW w:type="dxa" w:w="1813"/>
          </w:tcPr>
          <w:p>
            <w:pPr>
              <w:jc w:val="center"/>
            </w:pPr>
            <w:r/>
            <w:r>
              <w:rPr>
                <w:rFonts w:ascii="Times New Roman" w:hAnsi="Times New Roman" w:eastAsia="宋体"/>
                <w:sz w:val="28"/>
              </w:rPr>
              <w:t>负责上位机界面与仪表盘控件</w:t>
            </w:r>
          </w:p>
        </w:tc>
      </w:tr>
    </w:tbl>
    <w:p>
      <w:pPr>
        <w:spacing w:line="560" w:lineRule="exact" w:before="0" w:after="0"/>
        <w:jc w:val="both"/>
      </w:pPr>
      <w:r>
        <w:rPr>
          <w:rFonts w:ascii="Times New Roman" w:hAnsi="Times New Roman" w:eastAsia="宋体"/>
          <w:sz w:val="28"/>
        </w:rPr>
        <w:t>团队累计荣誉包括第十七届"挑战杯"全国大学生课外学术科技作品竞赛三等奖（《医学三维场景与科学数据融合处理、交互指引软件系统》）、"挑战杯"吉林省大学生创业计划竞赛二等奖（《区块链共享处方慢病医保远程结算系统》）、"建行杯"第七届吉林省互联网+大学生创新创业大赛省级铜奖（《医学放射治疗定位指引系统》）等。团队具备从需求分析、算法建模、系统架构到现场部署的全流程工程化能力。</w:t>
      </w:r>
    </w:p>
    <w:p>
      <w:pPr>
        <w:spacing w:line="560" w:lineRule="exact" w:before="0" w:after="0"/>
        <w:jc w:val="left"/>
      </w:pPr>
      <w:r>
        <w:rPr>
          <w:rFonts w:ascii="Times New Roman" w:hAnsi="Times New Roman" w:eastAsia="楷体"/>
          <w:sz w:val="32"/>
        </w:rPr>
        <w:t>2. 顾问指导</w:t>
      </w:r>
    </w:p>
    <w:p>
      <w:pPr>
        <w:spacing w:line="560" w:lineRule="exact" w:before="0" w:after="0"/>
        <w:jc w:val="both"/>
      </w:pPr>
      <w:r>
        <w:rPr>
          <w:rFonts w:ascii="Times New Roman" w:hAnsi="Times New Roman" w:eastAsia="宋体"/>
          <w:sz w:val="28"/>
        </w:rPr>
        <w:t>项目由学校正高级实验师担任指导教师，长期从事核应用技术、辐射防护与高压电源工程化研究，主持多项省部级项目，具有丰富的样机研制、测试评价与产业转化经验。指导教师在系统架构评审、关键器件选型、辐射安全合规、第三方检测对接等方面提供专业指导，并协调校内外科研平台为项目研发与测试提供条件支持。校企合作单位资深工程师与行业专家作为产业顾问，在客户需求洞察、市场推广策略、合规审批与行业标准对接等方面提供持续支持。</w:t>
      </w:r>
    </w:p>
    <w:p>
      <w:pPr>
        <w:spacing w:line="560" w:lineRule="exact" w:before="0" w:after="0"/>
        <w:jc w:val="left"/>
      </w:pPr>
      <w:r>
        <w:rPr>
          <w:rFonts w:ascii="Times New Roman" w:hAnsi="Times New Roman" w:eastAsia="黑体"/>
          <w:b w:val="0"/>
          <w:sz w:val="32"/>
        </w:rPr>
        <w:t>七、财务分析</w:t>
      </w:r>
    </w:p>
    <w:p>
      <w:pPr>
        <w:spacing w:line="560" w:lineRule="exact" w:before="0" w:after="0"/>
        <w:jc w:val="left"/>
      </w:pPr>
      <w:r>
        <w:rPr>
          <w:rFonts w:ascii="Times New Roman" w:hAnsi="Times New Roman" w:eastAsia="楷体"/>
          <w:sz w:val="32"/>
        </w:rPr>
        <w:t>1. 财务规划</w:t>
      </w:r>
    </w:p>
    <w:p>
      <w:pPr>
        <w:spacing w:line="560" w:lineRule="exact" w:before="0" w:after="0"/>
        <w:jc w:val="both"/>
      </w:pPr>
      <w:r>
        <w:rPr>
          <w:rFonts w:ascii="Times New Roman" w:hAnsi="Times New Roman" w:eastAsia="宋体"/>
          <w:sz w:val="28"/>
        </w:rPr>
        <w:t>财务模型核心假设为单套定价 25 万元、单套可变成本 16.25 万元（毛利 8.75 万元/套，毛利率 35%）、年固定成本 300 万元、所得税按 15% 高新技术企业税率（取得资质后）。</w:t>
      </w:r>
    </w:p>
    <w:p>
      <w:pPr>
        <w:spacing w:line="560" w:lineRule="exact" w:before="0" w:after="0"/>
        <w:jc w:val="center"/>
      </w:pPr>
      <w:r>
        <w:rPr>
          <w:rFonts w:ascii="Times New Roman" w:hAnsi="Times New Roman" w:eastAsia="黑体"/>
          <w:sz w:val="24"/>
        </w:rPr>
        <w:t>表7.1 5 年财务规划核心指标</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8"/>
              </w:rPr>
              <w:t>指标</w:t>
            </w:r>
          </w:p>
        </w:tc>
        <w:tc>
          <w:tcPr>
            <w:tcW w:type="dxa" w:w="1511"/>
          </w:tcPr>
          <w:p>
            <w:pPr>
              <w:jc w:val="center"/>
            </w:pPr>
            <w:r/>
            <w:r>
              <w:rPr>
                <w:rFonts w:ascii="Times New Roman" w:hAnsi="Times New Roman" w:eastAsia="宋体"/>
                <w:b/>
                <w:sz w:val="28"/>
              </w:rPr>
              <w:t>第 1 年</w:t>
            </w:r>
          </w:p>
        </w:tc>
        <w:tc>
          <w:tcPr>
            <w:tcW w:type="dxa" w:w="1511"/>
          </w:tcPr>
          <w:p>
            <w:pPr>
              <w:jc w:val="center"/>
            </w:pPr>
            <w:r/>
            <w:r>
              <w:rPr>
                <w:rFonts w:ascii="Times New Roman" w:hAnsi="Times New Roman" w:eastAsia="宋体"/>
                <w:b/>
                <w:sz w:val="28"/>
              </w:rPr>
              <w:t>第 2 年</w:t>
            </w:r>
          </w:p>
        </w:tc>
        <w:tc>
          <w:tcPr>
            <w:tcW w:type="dxa" w:w="1511"/>
          </w:tcPr>
          <w:p>
            <w:pPr>
              <w:jc w:val="center"/>
            </w:pPr>
            <w:r/>
            <w:r>
              <w:rPr>
                <w:rFonts w:ascii="Times New Roman" w:hAnsi="Times New Roman" w:eastAsia="宋体"/>
                <w:b/>
                <w:sz w:val="28"/>
              </w:rPr>
              <w:t>第 3 年</w:t>
            </w:r>
          </w:p>
        </w:tc>
        <w:tc>
          <w:tcPr>
            <w:tcW w:type="dxa" w:w="1511"/>
          </w:tcPr>
          <w:p>
            <w:pPr>
              <w:jc w:val="center"/>
            </w:pPr>
            <w:r/>
            <w:r>
              <w:rPr>
                <w:rFonts w:ascii="Times New Roman" w:hAnsi="Times New Roman" w:eastAsia="宋体"/>
                <w:b/>
                <w:sz w:val="28"/>
              </w:rPr>
              <w:t>第 4 年</w:t>
            </w:r>
          </w:p>
        </w:tc>
        <w:tc>
          <w:tcPr>
            <w:tcW w:type="dxa" w:w="1511"/>
          </w:tcPr>
          <w:p>
            <w:pPr>
              <w:jc w:val="center"/>
            </w:pPr>
            <w:r/>
            <w:r>
              <w:rPr>
                <w:rFonts w:ascii="Times New Roman" w:hAnsi="Times New Roman" w:eastAsia="宋体"/>
                <w:b/>
                <w:sz w:val="28"/>
              </w:rPr>
              <w:t>第 5 年</w:t>
            </w:r>
          </w:p>
        </w:tc>
      </w:tr>
      <w:tr>
        <w:tc>
          <w:tcPr>
            <w:tcW w:type="dxa" w:w="1511"/>
          </w:tcPr>
          <w:p>
            <w:pPr>
              <w:jc w:val="center"/>
            </w:pPr>
            <w:r/>
            <w:r>
              <w:rPr>
                <w:rFonts w:ascii="Times New Roman" w:hAnsi="Times New Roman" w:eastAsia="宋体"/>
                <w:sz w:val="28"/>
              </w:rPr>
              <w:t>销量（套）</w:t>
            </w:r>
          </w:p>
        </w:tc>
        <w:tc>
          <w:tcPr>
            <w:tcW w:type="dxa" w:w="1511"/>
          </w:tcPr>
          <w:p>
            <w:pPr>
              <w:jc w:val="center"/>
            </w:pPr>
            <w:r/>
            <w:r>
              <w:rPr>
                <w:rFonts w:ascii="Times New Roman" w:hAnsi="Times New Roman" w:eastAsia="宋体"/>
                <w:sz w:val="28"/>
              </w:rPr>
              <w:t>30</w:t>
            </w:r>
          </w:p>
        </w:tc>
        <w:tc>
          <w:tcPr>
            <w:tcW w:type="dxa" w:w="1511"/>
          </w:tcPr>
          <w:p>
            <w:pPr>
              <w:jc w:val="center"/>
            </w:pPr>
            <w:r/>
            <w:r>
              <w:rPr>
                <w:rFonts w:ascii="Times New Roman" w:hAnsi="Times New Roman" w:eastAsia="宋体"/>
                <w:sz w:val="28"/>
              </w:rPr>
              <w:t>60</w:t>
            </w:r>
          </w:p>
        </w:tc>
        <w:tc>
          <w:tcPr>
            <w:tcW w:type="dxa" w:w="1511"/>
          </w:tcPr>
          <w:p>
            <w:pPr>
              <w:jc w:val="center"/>
            </w:pPr>
            <w:r/>
            <w:r>
              <w:rPr>
                <w:rFonts w:ascii="Times New Roman" w:hAnsi="Times New Roman" w:eastAsia="宋体"/>
                <w:sz w:val="28"/>
              </w:rPr>
              <w:t>120</w:t>
            </w:r>
          </w:p>
        </w:tc>
        <w:tc>
          <w:tcPr>
            <w:tcW w:type="dxa" w:w="1511"/>
          </w:tcPr>
          <w:p>
            <w:pPr>
              <w:jc w:val="center"/>
            </w:pPr>
            <w:r/>
            <w:r>
              <w:rPr>
                <w:rFonts w:ascii="Times New Roman" w:hAnsi="Times New Roman" w:eastAsia="宋体"/>
                <w:sz w:val="28"/>
              </w:rPr>
              <w:t>200</w:t>
            </w:r>
          </w:p>
        </w:tc>
        <w:tc>
          <w:tcPr>
            <w:tcW w:type="dxa" w:w="1511"/>
          </w:tcPr>
          <w:p>
            <w:pPr>
              <w:jc w:val="center"/>
            </w:pPr>
            <w:r/>
            <w:r>
              <w:rPr>
                <w:rFonts w:ascii="Times New Roman" w:hAnsi="Times New Roman" w:eastAsia="宋体"/>
                <w:sz w:val="28"/>
              </w:rPr>
              <w:t>300</w:t>
            </w:r>
          </w:p>
        </w:tc>
      </w:tr>
      <w:tr>
        <w:tc>
          <w:tcPr>
            <w:tcW w:type="dxa" w:w="1511"/>
          </w:tcPr>
          <w:p>
            <w:pPr>
              <w:jc w:val="center"/>
            </w:pPr>
            <w:r/>
            <w:r>
              <w:rPr>
                <w:rFonts w:ascii="Times New Roman" w:hAnsi="Times New Roman" w:eastAsia="宋体"/>
                <w:sz w:val="28"/>
              </w:rPr>
              <w:t>营业收入（万元）</w:t>
            </w:r>
          </w:p>
        </w:tc>
        <w:tc>
          <w:tcPr>
            <w:tcW w:type="dxa" w:w="1511"/>
          </w:tcPr>
          <w:p>
            <w:pPr>
              <w:jc w:val="center"/>
            </w:pPr>
            <w:r/>
            <w:r>
              <w:rPr>
                <w:rFonts w:ascii="Times New Roman" w:hAnsi="Times New Roman" w:eastAsia="宋体"/>
                <w:sz w:val="28"/>
              </w:rPr>
              <w:t>750</w:t>
            </w:r>
          </w:p>
        </w:tc>
        <w:tc>
          <w:tcPr>
            <w:tcW w:type="dxa" w:w="1511"/>
          </w:tcPr>
          <w:p>
            <w:pPr>
              <w:jc w:val="center"/>
            </w:pPr>
            <w:r/>
            <w:r>
              <w:rPr>
                <w:rFonts w:ascii="Times New Roman" w:hAnsi="Times New Roman" w:eastAsia="宋体"/>
                <w:sz w:val="28"/>
              </w:rPr>
              <w:t>1500</w:t>
            </w:r>
          </w:p>
        </w:tc>
        <w:tc>
          <w:tcPr>
            <w:tcW w:type="dxa" w:w="1511"/>
          </w:tcPr>
          <w:p>
            <w:pPr>
              <w:jc w:val="center"/>
            </w:pPr>
            <w:r/>
            <w:r>
              <w:rPr>
                <w:rFonts w:ascii="Times New Roman" w:hAnsi="Times New Roman" w:eastAsia="宋体"/>
                <w:sz w:val="28"/>
              </w:rPr>
              <w:t>3000</w:t>
            </w:r>
          </w:p>
        </w:tc>
        <w:tc>
          <w:tcPr>
            <w:tcW w:type="dxa" w:w="1511"/>
          </w:tcPr>
          <w:p>
            <w:pPr>
              <w:jc w:val="center"/>
            </w:pPr>
            <w:r/>
            <w:r>
              <w:rPr>
                <w:rFonts w:ascii="Times New Roman" w:hAnsi="Times New Roman" w:eastAsia="宋体"/>
                <w:sz w:val="28"/>
              </w:rPr>
              <w:t>5000</w:t>
            </w:r>
          </w:p>
        </w:tc>
        <w:tc>
          <w:tcPr>
            <w:tcW w:type="dxa" w:w="1511"/>
          </w:tcPr>
          <w:p>
            <w:pPr>
              <w:jc w:val="center"/>
            </w:pPr>
            <w:r/>
            <w:r>
              <w:rPr>
                <w:rFonts w:ascii="Times New Roman" w:hAnsi="Times New Roman" w:eastAsia="宋体"/>
                <w:sz w:val="28"/>
              </w:rPr>
              <w:t>7500</w:t>
            </w:r>
          </w:p>
        </w:tc>
      </w:tr>
      <w:tr>
        <w:tc>
          <w:tcPr>
            <w:tcW w:type="dxa" w:w="1511"/>
          </w:tcPr>
          <w:p>
            <w:pPr>
              <w:jc w:val="center"/>
            </w:pPr>
            <w:r/>
            <w:r>
              <w:rPr>
                <w:rFonts w:ascii="Times New Roman" w:hAnsi="Times New Roman" w:eastAsia="宋体"/>
                <w:sz w:val="28"/>
              </w:rPr>
              <w:t>营业成本（万元）</w:t>
            </w:r>
          </w:p>
        </w:tc>
        <w:tc>
          <w:tcPr>
            <w:tcW w:type="dxa" w:w="1511"/>
          </w:tcPr>
          <w:p>
            <w:pPr>
              <w:jc w:val="center"/>
            </w:pPr>
            <w:r/>
            <w:r>
              <w:rPr>
                <w:rFonts w:ascii="Times New Roman" w:hAnsi="Times New Roman" w:eastAsia="宋体"/>
                <w:sz w:val="28"/>
              </w:rPr>
              <w:t>487.5</w:t>
            </w:r>
          </w:p>
        </w:tc>
        <w:tc>
          <w:tcPr>
            <w:tcW w:type="dxa" w:w="1511"/>
          </w:tcPr>
          <w:p>
            <w:pPr>
              <w:jc w:val="center"/>
            </w:pPr>
            <w:r/>
            <w:r>
              <w:rPr>
                <w:rFonts w:ascii="Times New Roman" w:hAnsi="Times New Roman" w:eastAsia="宋体"/>
                <w:sz w:val="28"/>
              </w:rPr>
              <w:t>975</w:t>
            </w:r>
          </w:p>
        </w:tc>
        <w:tc>
          <w:tcPr>
            <w:tcW w:type="dxa" w:w="1511"/>
          </w:tcPr>
          <w:p>
            <w:pPr>
              <w:jc w:val="center"/>
            </w:pPr>
            <w:r/>
            <w:r>
              <w:rPr>
                <w:rFonts w:ascii="Times New Roman" w:hAnsi="Times New Roman" w:eastAsia="宋体"/>
                <w:sz w:val="28"/>
              </w:rPr>
              <w:t>1950</w:t>
            </w:r>
          </w:p>
        </w:tc>
        <w:tc>
          <w:tcPr>
            <w:tcW w:type="dxa" w:w="1511"/>
          </w:tcPr>
          <w:p>
            <w:pPr>
              <w:jc w:val="center"/>
            </w:pPr>
            <w:r/>
            <w:r>
              <w:rPr>
                <w:rFonts w:ascii="Times New Roman" w:hAnsi="Times New Roman" w:eastAsia="宋体"/>
                <w:sz w:val="28"/>
              </w:rPr>
              <w:t>3250</w:t>
            </w:r>
          </w:p>
        </w:tc>
        <w:tc>
          <w:tcPr>
            <w:tcW w:type="dxa" w:w="1511"/>
          </w:tcPr>
          <w:p>
            <w:pPr>
              <w:jc w:val="center"/>
            </w:pPr>
            <w:r/>
            <w:r>
              <w:rPr>
                <w:rFonts w:ascii="Times New Roman" w:hAnsi="Times New Roman" w:eastAsia="宋体"/>
                <w:sz w:val="28"/>
              </w:rPr>
              <w:t>4875</w:t>
            </w:r>
          </w:p>
        </w:tc>
      </w:tr>
      <w:tr>
        <w:tc>
          <w:tcPr>
            <w:tcW w:type="dxa" w:w="1511"/>
          </w:tcPr>
          <w:p>
            <w:pPr>
              <w:jc w:val="center"/>
            </w:pPr>
            <w:r/>
            <w:r>
              <w:rPr>
                <w:rFonts w:ascii="Times New Roman" w:hAnsi="Times New Roman" w:eastAsia="宋体"/>
                <w:sz w:val="28"/>
              </w:rPr>
              <w:t>毛利（万元）</w:t>
            </w:r>
          </w:p>
        </w:tc>
        <w:tc>
          <w:tcPr>
            <w:tcW w:type="dxa" w:w="1511"/>
          </w:tcPr>
          <w:p>
            <w:pPr>
              <w:jc w:val="center"/>
            </w:pPr>
            <w:r/>
            <w:r>
              <w:rPr>
                <w:rFonts w:ascii="Times New Roman" w:hAnsi="Times New Roman" w:eastAsia="宋体"/>
                <w:sz w:val="28"/>
              </w:rPr>
              <w:t>262.5</w:t>
            </w:r>
          </w:p>
        </w:tc>
        <w:tc>
          <w:tcPr>
            <w:tcW w:type="dxa" w:w="1511"/>
          </w:tcPr>
          <w:p>
            <w:pPr>
              <w:jc w:val="center"/>
            </w:pPr>
            <w:r/>
            <w:r>
              <w:rPr>
                <w:rFonts w:ascii="Times New Roman" w:hAnsi="Times New Roman" w:eastAsia="宋体"/>
                <w:sz w:val="28"/>
              </w:rPr>
              <w:t>525</w:t>
            </w:r>
          </w:p>
        </w:tc>
        <w:tc>
          <w:tcPr>
            <w:tcW w:type="dxa" w:w="1511"/>
          </w:tcPr>
          <w:p>
            <w:pPr>
              <w:jc w:val="center"/>
            </w:pPr>
            <w:r/>
            <w:r>
              <w:rPr>
                <w:rFonts w:ascii="Times New Roman" w:hAnsi="Times New Roman" w:eastAsia="宋体"/>
                <w:sz w:val="28"/>
              </w:rPr>
              <w:t>1050</w:t>
            </w:r>
          </w:p>
        </w:tc>
        <w:tc>
          <w:tcPr>
            <w:tcW w:type="dxa" w:w="1511"/>
          </w:tcPr>
          <w:p>
            <w:pPr>
              <w:jc w:val="center"/>
            </w:pPr>
            <w:r/>
            <w:r>
              <w:rPr>
                <w:rFonts w:ascii="Times New Roman" w:hAnsi="Times New Roman" w:eastAsia="宋体"/>
                <w:sz w:val="28"/>
              </w:rPr>
              <w:t>1750</w:t>
            </w:r>
          </w:p>
        </w:tc>
        <w:tc>
          <w:tcPr>
            <w:tcW w:type="dxa" w:w="1511"/>
          </w:tcPr>
          <w:p>
            <w:pPr>
              <w:jc w:val="center"/>
            </w:pPr>
            <w:r/>
            <w:r>
              <w:rPr>
                <w:rFonts w:ascii="Times New Roman" w:hAnsi="Times New Roman" w:eastAsia="宋体"/>
                <w:sz w:val="28"/>
              </w:rPr>
              <w:t>2625</w:t>
            </w:r>
          </w:p>
        </w:tc>
      </w:tr>
      <w:tr>
        <w:tc>
          <w:tcPr>
            <w:tcW w:type="dxa" w:w="1511"/>
          </w:tcPr>
          <w:p>
            <w:pPr>
              <w:jc w:val="center"/>
            </w:pPr>
            <w:r/>
            <w:r>
              <w:rPr>
                <w:rFonts w:ascii="Times New Roman" w:hAnsi="Times New Roman" w:eastAsia="宋体"/>
                <w:sz w:val="28"/>
              </w:rPr>
              <w:t>净利润（万元）</w:t>
            </w:r>
          </w:p>
        </w:tc>
        <w:tc>
          <w:tcPr>
            <w:tcW w:type="dxa" w:w="1511"/>
          </w:tcPr>
          <w:p>
            <w:pPr>
              <w:jc w:val="center"/>
            </w:pPr>
            <w:r/>
            <w:r>
              <w:rPr>
                <w:rFonts w:ascii="Times New Roman" w:hAnsi="Times New Roman" w:eastAsia="宋体"/>
                <w:sz w:val="28"/>
              </w:rPr>
              <w:t>-37.5</w:t>
            </w:r>
          </w:p>
        </w:tc>
        <w:tc>
          <w:tcPr>
            <w:tcW w:type="dxa" w:w="1511"/>
          </w:tcPr>
          <w:p>
            <w:pPr>
              <w:jc w:val="center"/>
            </w:pPr>
            <w:r/>
            <w:r>
              <w:rPr>
                <w:rFonts w:ascii="Times New Roman" w:hAnsi="Times New Roman" w:eastAsia="宋体"/>
                <w:sz w:val="28"/>
              </w:rPr>
              <w:t>153.75</w:t>
            </w:r>
          </w:p>
        </w:tc>
        <w:tc>
          <w:tcPr>
            <w:tcW w:type="dxa" w:w="1511"/>
          </w:tcPr>
          <w:p>
            <w:pPr>
              <w:jc w:val="center"/>
            </w:pPr>
            <w:r/>
            <w:r>
              <w:rPr>
                <w:rFonts w:ascii="Times New Roman" w:hAnsi="Times New Roman" w:eastAsia="宋体"/>
                <w:sz w:val="28"/>
              </w:rPr>
              <w:t>525</w:t>
            </w:r>
          </w:p>
        </w:tc>
        <w:tc>
          <w:tcPr>
            <w:tcW w:type="dxa" w:w="1511"/>
          </w:tcPr>
          <w:p>
            <w:pPr>
              <w:jc w:val="center"/>
            </w:pPr>
            <w:r/>
            <w:r>
              <w:rPr>
                <w:rFonts w:ascii="Times New Roman" w:hAnsi="Times New Roman" w:eastAsia="宋体"/>
                <w:sz w:val="28"/>
              </w:rPr>
              <w:t>1012.5</w:t>
            </w:r>
          </w:p>
        </w:tc>
        <w:tc>
          <w:tcPr>
            <w:tcW w:type="dxa" w:w="1511"/>
          </w:tcPr>
          <w:p>
            <w:pPr>
              <w:jc w:val="center"/>
            </w:pPr>
            <w:r/>
            <w:r>
              <w:rPr>
                <w:rFonts w:ascii="Times New Roman" w:hAnsi="Times New Roman" w:eastAsia="宋体"/>
                <w:sz w:val="28"/>
              </w:rPr>
              <w:t>1593.75</w:t>
            </w:r>
          </w:p>
        </w:tc>
      </w:tr>
      <w:tr>
        <w:tc>
          <w:tcPr>
            <w:tcW w:type="dxa" w:w="1511"/>
          </w:tcPr>
          <w:p>
            <w:pPr>
              <w:jc w:val="center"/>
            </w:pPr>
            <w:r/>
            <w:r>
              <w:rPr>
                <w:rFonts w:ascii="Times New Roman" w:hAnsi="Times New Roman" w:eastAsia="宋体"/>
                <w:sz w:val="28"/>
              </w:rPr>
              <w:t>毛利率</w:t>
            </w:r>
          </w:p>
        </w:tc>
        <w:tc>
          <w:tcPr>
            <w:tcW w:type="dxa" w:w="1511"/>
          </w:tcPr>
          <w:p>
            <w:pPr>
              <w:jc w:val="center"/>
            </w:pPr>
            <w:r/>
            <w:r>
              <w:rPr>
                <w:rFonts w:ascii="Times New Roman" w:hAnsi="Times New Roman" w:eastAsia="宋体"/>
                <w:sz w:val="28"/>
              </w:rPr>
              <w:t>35%</w:t>
            </w:r>
          </w:p>
        </w:tc>
        <w:tc>
          <w:tcPr>
            <w:tcW w:type="dxa" w:w="1511"/>
          </w:tcPr>
          <w:p>
            <w:pPr>
              <w:jc w:val="center"/>
            </w:pPr>
            <w:r/>
            <w:r>
              <w:rPr>
                <w:rFonts w:ascii="Times New Roman" w:hAnsi="Times New Roman" w:eastAsia="宋体"/>
                <w:sz w:val="28"/>
              </w:rPr>
              <w:t>35%</w:t>
            </w:r>
          </w:p>
        </w:tc>
        <w:tc>
          <w:tcPr>
            <w:tcW w:type="dxa" w:w="1511"/>
          </w:tcPr>
          <w:p>
            <w:pPr>
              <w:jc w:val="center"/>
            </w:pPr>
            <w:r/>
            <w:r>
              <w:rPr>
                <w:rFonts w:ascii="Times New Roman" w:hAnsi="Times New Roman" w:eastAsia="宋体"/>
                <w:sz w:val="28"/>
              </w:rPr>
              <w:t>35%</w:t>
            </w:r>
          </w:p>
        </w:tc>
        <w:tc>
          <w:tcPr>
            <w:tcW w:type="dxa" w:w="1511"/>
          </w:tcPr>
          <w:p>
            <w:pPr>
              <w:jc w:val="center"/>
            </w:pPr>
            <w:r/>
            <w:r>
              <w:rPr>
                <w:rFonts w:ascii="Times New Roman" w:hAnsi="Times New Roman" w:eastAsia="宋体"/>
                <w:sz w:val="28"/>
              </w:rPr>
              <w:t>35%</w:t>
            </w:r>
          </w:p>
        </w:tc>
        <w:tc>
          <w:tcPr>
            <w:tcW w:type="dxa" w:w="1511"/>
          </w:tcPr>
          <w:p>
            <w:pPr>
              <w:jc w:val="center"/>
            </w:pPr>
            <w:r/>
            <w:r>
              <w:rPr>
                <w:rFonts w:ascii="Times New Roman" w:hAnsi="Times New Roman" w:eastAsia="宋体"/>
                <w:sz w:val="28"/>
              </w:rPr>
              <w:t>35%</w:t>
            </w:r>
          </w:p>
        </w:tc>
      </w:tr>
      <w:tr>
        <w:tc>
          <w:tcPr>
            <w:tcW w:type="dxa" w:w="1511"/>
          </w:tcPr>
          <w:p>
            <w:pPr>
              <w:jc w:val="center"/>
            </w:pPr>
            <w:r/>
            <w:r>
              <w:rPr>
                <w:rFonts w:ascii="Times New Roman" w:hAnsi="Times New Roman" w:eastAsia="宋体"/>
                <w:sz w:val="28"/>
              </w:rPr>
              <w:t>净利率</w:t>
            </w:r>
          </w:p>
        </w:tc>
        <w:tc>
          <w:tcPr>
            <w:tcW w:type="dxa" w:w="1511"/>
          </w:tcPr>
          <w:p>
            <w:pPr>
              <w:jc w:val="center"/>
            </w:pPr>
            <w:r/>
            <w:r>
              <w:rPr>
                <w:rFonts w:ascii="Times New Roman" w:hAnsi="Times New Roman" w:eastAsia="宋体"/>
                <w:sz w:val="28"/>
              </w:rPr>
              <w:t>-5%</w:t>
            </w:r>
          </w:p>
        </w:tc>
        <w:tc>
          <w:tcPr>
            <w:tcW w:type="dxa" w:w="1511"/>
          </w:tcPr>
          <w:p>
            <w:pPr>
              <w:jc w:val="center"/>
            </w:pPr>
            <w:r/>
            <w:r>
              <w:rPr>
                <w:rFonts w:ascii="Times New Roman" w:hAnsi="Times New Roman" w:eastAsia="宋体"/>
                <w:sz w:val="28"/>
              </w:rPr>
              <w:t>10.25%</w:t>
            </w:r>
          </w:p>
        </w:tc>
        <w:tc>
          <w:tcPr>
            <w:tcW w:type="dxa" w:w="1511"/>
          </w:tcPr>
          <w:p>
            <w:pPr>
              <w:jc w:val="center"/>
            </w:pPr>
            <w:r/>
            <w:r>
              <w:rPr>
                <w:rFonts w:ascii="Times New Roman" w:hAnsi="Times New Roman" w:eastAsia="宋体"/>
                <w:sz w:val="28"/>
              </w:rPr>
              <w:t>17.5%</w:t>
            </w:r>
          </w:p>
        </w:tc>
        <w:tc>
          <w:tcPr>
            <w:tcW w:type="dxa" w:w="1511"/>
          </w:tcPr>
          <w:p>
            <w:pPr>
              <w:jc w:val="center"/>
            </w:pPr>
            <w:r/>
            <w:r>
              <w:rPr>
                <w:rFonts w:ascii="Times New Roman" w:hAnsi="Times New Roman" w:eastAsia="宋体"/>
                <w:sz w:val="28"/>
              </w:rPr>
              <w:t>20.25%</w:t>
            </w:r>
          </w:p>
        </w:tc>
        <w:tc>
          <w:tcPr>
            <w:tcW w:type="dxa" w:w="1511"/>
          </w:tcPr>
          <w:p>
            <w:pPr>
              <w:jc w:val="center"/>
            </w:pPr>
            <w:r/>
            <w:r>
              <w:rPr>
                <w:rFonts w:ascii="Times New Roman" w:hAnsi="Times New Roman" w:eastAsia="宋体"/>
                <w:sz w:val="28"/>
              </w:rPr>
              <w:t>21.25%</w:t>
            </w:r>
          </w:p>
        </w:tc>
      </w:tr>
    </w:tbl>
    <w:p>
      <w:pPr>
        <w:spacing w:line="560" w:lineRule="exact" w:before="0" w:after="0"/>
        <w:jc w:val="both"/>
      </w:pPr>
      <w:r>
        <w:rPr>
          <w:rFonts w:ascii="Times New Roman" w:hAnsi="Times New Roman" w:eastAsia="宋体"/>
          <w:sz w:val="28"/>
        </w:rPr>
        <w:t>核心财务指标方面，投资回收期约 1.8 年，净现值（NPV，10% 折现率）约 3200 万元、显著为正，内部收益率（IRR）约 96%，盈亏平衡点约 35 套/年。</w:t>
      </w:r>
    </w:p>
    <w:p>
      <w:pPr>
        <w:spacing w:line="560" w:lineRule="exact" w:before="0" w:after="0"/>
        <w:jc w:val="both"/>
      </w:pPr>
      <w:r>
        <w:rPr>
          <w:rFonts w:ascii="Times New Roman" w:hAnsi="Times New Roman" w:eastAsia="宋体"/>
          <w:sz w:val="28"/>
        </w:rPr>
        <w:t>敏感性分析方面，以"销量 ±20%"与"单价 ±10%"为变量进行敏感性测试，第 5 年净利润波动区间约 950—2240 万元，IRR 仍保持在 60% 以上，项目财务表现具有较强抗风险能力。</w:t>
      </w:r>
    </w:p>
    <w:p>
      <w:pPr>
        <w:spacing w:line="560" w:lineRule="exact" w:before="0" w:after="0"/>
        <w:jc w:val="left"/>
      </w:pPr>
      <w:r>
        <w:rPr>
          <w:rFonts w:ascii="Times New Roman" w:hAnsi="Times New Roman" w:eastAsia="楷体"/>
          <w:sz w:val="32"/>
        </w:rPr>
        <w:t>2. 成本分析</w:t>
      </w:r>
    </w:p>
    <w:p>
      <w:pPr>
        <w:spacing w:line="560" w:lineRule="exact" w:before="0" w:after="0"/>
        <w:jc w:val="both"/>
      </w:pPr>
      <w:r>
        <w:rPr>
          <w:rFonts w:ascii="Times New Roman" w:hAnsi="Times New Roman" w:eastAsia="宋体"/>
          <w:sz w:val="28"/>
        </w:rPr>
        <w:t>成本结构由变动成本、固定成本与期间费用三部分构成。变动成本（16.25 万元/套）包括核心器件、PCBA、外壳与线束、电源模块、装配工时、出厂测试等；固定成本（300 万元/年）包括人员薪酬（研发 6 人 + 市场 2 人 + 运营 4 人，约 180 万元）、研发与认证（50 万元）、市场与品牌（30 万元）、行政与租金（20 万元）、折旧与摊销（20 万元）；期间费用随收入按 6%—10% 浮动，覆盖差旅、招投标、保险与法律咨询。人力扩张方面，5 年内人员规模由 12 人扩展至 30—35 人，市场与售后团队随业务规模同步增长。</w:t>
      </w:r>
    </w:p>
    <w:p>
      <w:pPr>
        <w:spacing w:line="560" w:lineRule="exact" w:before="0" w:after="0"/>
        <w:jc w:val="left"/>
      </w:pPr>
      <w:r>
        <w:rPr>
          <w:rFonts w:ascii="Times New Roman" w:hAnsi="Times New Roman" w:eastAsia="楷体"/>
          <w:sz w:val="32"/>
        </w:rPr>
        <w:t>3. 公司盈利情况</w:t>
      </w:r>
    </w:p>
    <w:p>
      <w:pPr>
        <w:spacing w:line="560" w:lineRule="exact" w:before="0" w:after="0"/>
        <w:jc w:val="both"/>
      </w:pPr>
      <w:r>
        <w:rPr>
          <w:rFonts w:ascii="Times New Roman" w:hAnsi="Times New Roman" w:eastAsia="宋体"/>
          <w:sz w:val="28"/>
        </w:rPr>
        <w:t>公司目前处于研发收尾与产业化启动阶段，预计 2026 年下半年实现首批 30 套订单交付与正式收入确认。</w:t>
      </w:r>
    </w:p>
    <w:p>
      <w:pPr>
        <w:spacing w:line="560" w:lineRule="exact" w:before="0" w:after="0"/>
        <w:jc w:val="center"/>
      </w:pPr>
      <w:r>
        <w:rPr>
          <w:rFonts w:ascii="Times New Roman" w:hAnsi="Times New Roman" w:eastAsia="黑体"/>
          <w:sz w:val="24"/>
        </w:rPr>
        <w:t>表7.2 损益表（万元）</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8"/>
              </w:rPr>
              <w:t>项目</w:t>
            </w:r>
          </w:p>
        </w:tc>
        <w:tc>
          <w:tcPr>
            <w:tcW w:type="dxa" w:w="1511"/>
          </w:tcPr>
          <w:p>
            <w:pPr>
              <w:jc w:val="center"/>
            </w:pPr>
            <w:r/>
            <w:r>
              <w:rPr>
                <w:rFonts w:ascii="Times New Roman" w:hAnsi="Times New Roman" w:eastAsia="宋体"/>
                <w:b/>
                <w:sz w:val="28"/>
              </w:rPr>
              <w:t>第 1 年</w:t>
            </w:r>
          </w:p>
        </w:tc>
        <w:tc>
          <w:tcPr>
            <w:tcW w:type="dxa" w:w="1511"/>
          </w:tcPr>
          <w:p>
            <w:pPr>
              <w:jc w:val="center"/>
            </w:pPr>
            <w:r/>
            <w:r>
              <w:rPr>
                <w:rFonts w:ascii="Times New Roman" w:hAnsi="Times New Roman" w:eastAsia="宋体"/>
                <w:b/>
                <w:sz w:val="28"/>
              </w:rPr>
              <w:t>第 2 年</w:t>
            </w:r>
          </w:p>
        </w:tc>
        <w:tc>
          <w:tcPr>
            <w:tcW w:type="dxa" w:w="1511"/>
          </w:tcPr>
          <w:p>
            <w:pPr>
              <w:jc w:val="center"/>
            </w:pPr>
            <w:r/>
            <w:r>
              <w:rPr>
                <w:rFonts w:ascii="Times New Roman" w:hAnsi="Times New Roman" w:eastAsia="宋体"/>
                <w:b/>
                <w:sz w:val="28"/>
              </w:rPr>
              <w:t>第 3 年</w:t>
            </w:r>
          </w:p>
        </w:tc>
        <w:tc>
          <w:tcPr>
            <w:tcW w:type="dxa" w:w="1511"/>
          </w:tcPr>
          <w:p>
            <w:pPr>
              <w:jc w:val="center"/>
            </w:pPr>
            <w:r/>
            <w:r>
              <w:rPr>
                <w:rFonts w:ascii="Times New Roman" w:hAnsi="Times New Roman" w:eastAsia="宋体"/>
                <w:b/>
                <w:sz w:val="28"/>
              </w:rPr>
              <w:t>第 4 年</w:t>
            </w:r>
          </w:p>
        </w:tc>
        <w:tc>
          <w:tcPr>
            <w:tcW w:type="dxa" w:w="1511"/>
          </w:tcPr>
          <w:p>
            <w:pPr>
              <w:jc w:val="center"/>
            </w:pPr>
            <w:r/>
            <w:r>
              <w:rPr>
                <w:rFonts w:ascii="Times New Roman" w:hAnsi="Times New Roman" w:eastAsia="宋体"/>
                <w:b/>
                <w:sz w:val="28"/>
              </w:rPr>
              <w:t>第 5 年</w:t>
            </w:r>
          </w:p>
        </w:tc>
      </w:tr>
      <w:tr>
        <w:tc>
          <w:tcPr>
            <w:tcW w:type="dxa" w:w="1511"/>
          </w:tcPr>
          <w:p>
            <w:pPr>
              <w:jc w:val="center"/>
            </w:pPr>
            <w:r/>
            <w:r>
              <w:rPr>
                <w:rFonts w:ascii="Times New Roman" w:hAnsi="Times New Roman" w:eastAsia="宋体"/>
                <w:sz w:val="28"/>
              </w:rPr>
              <w:t>营业收入</w:t>
            </w:r>
          </w:p>
        </w:tc>
        <w:tc>
          <w:tcPr>
            <w:tcW w:type="dxa" w:w="1511"/>
          </w:tcPr>
          <w:p>
            <w:pPr>
              <w:jc w:val="center"/>
            </w:pPr>
            <w:r/>
            <w:r>
              <w:rPr>
                <w:rFonts w:ascii="Times New Roman" w:hAnsi="Times New Roman" w:eastAsia="宋体"/>
                <w:sz w:val="28"/>
              </w:rPr>
              <w:t>750</w:t>
            </w:r>
          </w:p>
        </w:tc>
        <w:tc>
          <w:tcPr>
            <w:tcW w:type="dxa" w:w="1511"/>
          </w:tcPr>
          <w:p>
            <w:pPr>
              <w:jc w:val="center"/>
            </w:pPr>
            <w:r/>
            <w:r>
              <w:rPr>
                <w:rFonts w:ascii="Times New Roman" w:hAnsi="Times New Roman" w:eastAsia="宋体"/>
                <w:sz w:val="28"/>
              </w:rPr>
              <w:t>1500</w:t>
            </w:r>
          </w:p>
        </w:tc>
        <w:tc>
          <w:tcPr>
            <w:tcW w:type="dxa" w:w="1511"/>
          </w:tcPr>
          <w:p>
            <w:pPr>
              <w:jc w:val="center"/>
            </w:pPr>
            <w:r/>
            <w:r>
              <w:rPr>
                <w:rFonts w:ascii="Times New Roman" w:hAnsi="Times New Roman" w:eastAsia="宋体"/>
                <w:sz w:val="28"/>
              </w:rPr>
              <w:t>3000</w:t>
            </w:r>
          </w:p>
        </w:tc>
        <w:tc>
          <w:tcPr>
            <w:tcW w:type="dxa" w:w="1511"/>
          </w:tcPr>
          <w:p>
            <w:pPr>
              <w:jc w:val="center"/>
            </w:pPr>
            <w:r/>
            <w:r>
              <w:rPr>
                <w:rFonts w:ascii="Times New Roman" w:hAnsi="Times New Roman" w:eastAsia="宋体"/>
                <w:sz w:val="28"/>
              </w:rPr>
              <w:t>5000</w:t>
            </w:r>
          </w:p>
        </w:tc>
        <w:tc>
          <w:tcPr>
            <w:tcW w:type="dxa" w:w="1511"/>
          </w:tcPr>
          <w:p>
            <w:pPr>
              <w:jc w:val="center"/>
            </w:pPr>
            <w:r/>
            <w:r>
              <w:rPr>
                <w:rFonts w:ascii="Times New Roman" w:hAnsi="Times New Roman" w:eastAsia="宋体"/>
                <w:sz w:val="28"/>
              </w:rPr>
              <w:t>7500</w:t>
            </w:r>
          </w:p>
        </w:tc>
      </w:tr>
      <w:tr>
        <w:tc>
          <w:tcPr>
            <w:tcW w:type="dxa" w:w="1511"/>
          </w:tcPr>
          <w:p>
            <w:pPr>
              <w:jc w:val="center"/>
            </w:pPr>
            <w:r/>
            <w:r>
              <w:rPr>
                <w:rFonts w:ascii="Times New Roman" w:hAnsi="Times New Roman" w:eastAsia="宋体"/>
                <w:sz w:val="28"/>
              </w:rPr>
              <w:t>营业成本</w:t>
            </w:r>
          </w:p>
        </w:tc>
        <w:tc>
          <w:tcPr>
            <w:tcW w:type="dxa" w:w="1511"/>
          </w:tcPr>
          <w:p>
            <w:pPr>
              <w:jc w:val="center"/>
            </w:pPr>
            <w:r/>
            <w:r>
              <w:rPr>
                <w:rFonts w:ascii="Times New Roman" w:hAnsi="Times New Roman" w:eastAsia="宋体"/>
                <w:sz w:val="28"/>
              </w:rPr>
              <w:t>487.5</w:t>
            </w:r>
          </w:p>
        </w:tc>
        <w:tc>
          <w:tcPr>
            <w:tcW w:type="dxa" w:w="1511"/>
          </w:tcPr>
          <w:p>
            <w:pPr>
              <w:jc w:val="center"/>
            </w:pPr>
            <w:r/>
            <w:r>
              <w:rPr>
                <w:rFonts w:ascii="Times New Roman" w:hAnsi="Times New Roman" w:eastAsia="宋体"/>
                <w:sz w:val="28"/>
              </w:rPr>
              <w:t>975</w:t>
            </w:r>
          </w:p>
        </w:tc>
        <w:tc>
          <w:tcPr>
            <w:tcW w:type="dxa" w:w="1511"/>
          </w:tcPr>
          <w:p>
            <w:pPr>
              <w:jc w:val="center"/>
            </w:pPr>
            <w:r/>
            <w:r>
              <w:rPr>
                <w:rFonts w:ascii="Times New Roman" w:hAnsi="Times New Roman" w:eastAsia="宋体"/>
                <w:sz w:val="28"/>
              </w:rPr>
              <w:t>1950</w:t>
            </w:r>
          </w:p>
        </w:tc>
        <w:tc>
          <w:tcPr>
            <w:tcW w:type="dxa" w:w="1511"/>
          </w:tcPr>
          <w:p>
            <w:pPr>
              <w:jc w:val="center"/>
            </w:pPr>
            <w:r/>
            <w:r>
              <w:rPr>
                <w:rFonts w:ascii="Times New Roman" w:hAnsi="Times New Roman" w:eastAsia="宋体"/>
                <w:sz w:val="28"/>
              </w:rPr>
              <w:t>3250</w:t>
            </w:r>
          </w:p>
        </w:tc>
        <w:tc>
          <w:tcPr>
            <w:tcW w:type="dxa" w:w="1511"/>
          </w:tcPr>
          <w:p>
            <w:pPr>
              <w:jc w:val="center"/>
            </w:pPr>
            <w:r/>
            <w:r>
              <w:rPr>
                <w:rFonts w:ascii="Times New Roman" w:hAnsi="Times New Roman" w:eastAsia="宋体"/>
                <w:sz w:val="28"/>
              </w:rPr>
              <w:t>4875</w:t>
            </w:r>
          </w:p>
        </w:tc>
      </w:tr>
      <w:tr>
        <w:tc>
          <w:tcPr>
            <w:tcW w:type="dxa" w:w="1511"/>
          </w:tcPr>
          <w:p>
            <w:pPr>
              <w:jc w:val="center"/>
            </w:pPr>
            <w:r/>
            <w:r>
              <w:rPr>
                <w:rFonts w:ascii="Times New Roman" w:hAnsi="Times New Roman" w:eastAsia="宋体"/>
                <w:sz w:val="28"/>
              </w:rPr>
              <w:t>期间费用</w:t>
            </w:r>
          </w:p>
        </w:tc>
        <w:tc>
          <w:tcPr>
            <w:tcW w:type="dxa" w:w="1511"/>
          </w:tcPr>
          <w:p>
            <w:pPr>
              <w:jc w:val="center"/>
            </w:pPr>
            <w:r/>
            <w:r>
              <w:rPr>
                <w:rFonts w:ascii="Times New Roman" w:hAnsi="Times New Roman" w:eastAsia="宋体"/>
                <w:sz w:val="28"/>
              </w:rPr>
              <w:t>300</w:t>
            </w:r>
          </w:p>
        </w:tc>
        <w:tc>
          <w:tcPr>
            <w:tcW w:type="dxa" w:w="1511"/>
          </w:tcPr>
          <w:p>
            <w:pPr>
              <w:jc w:val="center"/>
            </w:pPr>
            <w:r/>
            <w:r>
              <w:rPr>
                <w:rFonts w:ascii="Times New Roman" w:hAnsi="Times New Roman" w:eastAsia="宋体"/>
                <w:sz w:val="28"/>
              </w:rPr>
              <w:t>360</w:t>
            </w:r>
          </w:p>
        </w:tc>
        <w:tc>
          <w:tcPr>
            <w:tcW w:type="dxa" w:w="1511"/>
          </w:tcPr>
          <w:p>
            <w:pPr>
              <w:jc w:val="center"/>
            </w:pPr>
            <w:r/>
            <w:r>
              <w:rPr>
                <w:rFonts w:ascii="Times New Roman" w:hAnsi="Times New Roman" w:eastAsia="宋体"/>
                <w:sz w:val="28"/>
              </w:rPr>
              <w:t>480</w:t>
            </w:r>
          </w:p>
        </w:tc>
        <w:tc>
          <w:tcPr>
            <w:tcW w:type="dxa" w:w="1511"/>
          </w:tcPr>
          <w:p>
            <w:pPr>
              <w:jc w:val="center"/>
            </w:pPr>
            <w:r/>
            <w:r>
              <w:rPr>
                <w:rFonts w:ascii="Times New Roman" w:hAnsi="Times New Roman" w:eastAsia="宋体"/>
                <w:sz w:val="28"/>
              </w:rPr>
              <w:t>650</w:t>
            </w:r>
          </w:p>
        </w:tc>
        <w:tc>
          <w:tcPr>
            <w:tcW w:type="dxa" w:w="1511"/>
          </w:tcPr>
          <w:p>
            <w:pPr>
              <w:jc w:val="center"/>
            </w:pPr>
            <w:r/>
            <w:r>
              <w:rPr>
                <w:rFonts w:ascii="Times New Roman" w:hAnsi="Times New Roman" w:eastAsia="宋体"/>
                <w:sz w:val="28"/>
              </w:rPr>
              <w:t>850</w:t>
            </w:r>
          </w:p>
        </w:tc>
      </w:tr>
      <w:tr>
        <w:tc>
          <w:tcPr>
            <w:tcW w:type="dxa" w:w="1511"/>
          </w:tcPr>
          <w:p>
            <w:pPr>
              <w:jc w:val="center"/>
            </w:pPr>
            <w:r/>
            <w:r>
              <w:rPr>
                <w:rFonts w:ascii="Times New Roman" w:hAnsi="Times New Roman" w:eastAsia="宋体"/>
                <w:sz w:val="28"/>
              </w:rPr>
              <w:t>利润总额</w:t>
            </w:r>
          </w:p>
        </w:tc>
        <w:tc>
          <w:tcPr>
            <w:tcW w:type="dxa" w:w="1511"/>
          </w:tcPr>
          <w:p>
            <w:pPr>
              <w:jc w:val="center"/>
            </w:pPr>
            <w:r/>
            <w:r>
              <w:rPr>
                <w:rFonts w:ascii="Times New Roman" w:hAnsi="Times New Roman" w:eastAsia="宋体"/>
                <w:sz w:val="28"/>
              </w:rPr>
              <w:t>-37.5</w:t>
            </w:r>
          </w:p>
        </w:tc>
        <w:tc>
          <w:tcPr>
            <w:tcW w:type="dxa" w:w="1511"/>
          </w:tcPr>
          <w:p>
            <w:pPr>
              <w:jc w:val="center"/>
            </w:pPr>
            <w:r/>
            <w:r>
              <w:rPr>
                <w:rFonts w:ascii="Times New Roman" w:hAnsi="Times New Roman" w:eastAsia="宋体"/>
                <w:sz w:val="28"/>
              </w:rPr>
              <w:t>165</w:t>
            </w:r>
          </w:p>
        </w:tc>
        <w:tc>
          <w:tcPr>
            <w:tcW w:type="dxa" w:w="1511"/>
          </w:tcPr>
          <w:p>
            <w:pPr>
              <w:jc w:val="center"/>
            </w:pPr>
            <w:r/>
            <w:r>
              <w:rPr>
                <w:rFonts w:ascii="Times New Roman" w:hAnsi="Times New Roman" w:eastAsia="宋体"/>
                <w:sz w:val="28"/>
              </w:rPr>
              <w:t>570</w:t>
            </w:r>
          </w:p>
        </w:tc>
        <w:tc>
          <w:tcPr>
            <w:tcW w:type="dxa" w:w="1511"/>
          </w:tcPr>
          <w:p>
            <w:pPr>
              <w:jc w:val="center"/>
            </w:pPr>
            <w:r/>
            <w:r>
              <w:rPr>
                <w:rFonts w:ascii="Times New Roman" w:hAnsi="Times New Roman" w:eastAsia="宋体"/>
                <w:sz w:val="28"/>
              </w:rPr>
              <w:t>1100</w:t>
            </w:r>
          </w:p>
        </w:tc>
        <w:tc>
          <w:tcPr>
            <w:tcW w:type="dxa" w:w="1511"/>
          </w:tcPr>
          <w:p>
            <w:pPr>
              <w:jc w:val="center"/>
            </w:pPr>
            <w:r/>
            <w:r>
              <w:rPr>
                <w:rFonts w:ascii="Times New Roman" w:hAnsi="Times New Roman" w:eastAsia="宋体"/>
                <w:sz w:val="28"/>
              </w:rPr>
              <w:t>1775</w:t>
            </w:r>
          </w:p>
        </w:tc>
      </w:tr>
      <w:tr>
        <w:tc>
          <w:tcPr>
            <w:tcW w:type="dxa" w:w="1511"/>
          </w:tcPr>
          <w:p>
            <w:pPr>
              <w:jc w:val="center"/>
            </w:pPr>
            <w:r/>
            <w:r>
              <w:rPr>
                <w:rFonts w:ascii="Times New Roman" w:hAnsi="Times New Roman" w:eastAsia="宋体"/>
                <w:sz w:val="28"/>
              </w:rPr>
              <w:t>所得税</w:t>
            </w:r>
          </w:p>
        </w:tc>
        <w:tc>
          <w:tcPr>
            <w:tcW w:type="dxa" w:w="1511"/>
          </w:tcPr>
          <w:p>
            <w:pPr>
              <w:jc w:val="center"/>
            </w:pPr>
            <w:r/>
            <w:r>
              <w:rPr>
                <w:rFonts w:ascii="Times New Roman" w:hAnsi="Times New Roman" w:eastAsia="宋体"/>
                <w:sz w:val="28"/>
              </w:rPr>
              <w:t>0</w:t>
            </w:r>
          </w:p>
        </w:tc>
        <w:tc>
          <w:tcPr>
            <w:tcW w:type="dxa" w:w="1511"/>
          </w:tcPr>
          <w:p>
            <w:pPr>
              <w:jc w:val="center"/>
            </w:pPr>
            <w:r/>
            <w:r>
              <w:rPr>
                <w:rFonts w:ascii="Times New Roman" w:hAnsi="Times New Roman" w:eastAsia="宋体"/>
                <w:sz w:val="28"/>
              </w:rPr>
              <w:t>11.25</w:t>
            </w:r>
          </w:p>
        </w:tc>
        <w:tc>
          <w:tcPr>
            <w:tcW w:type="dxa" w:w="1511"/>
          </w:tcPr>
          <w:p>
            <w:pPr>
              <w:jc w:val="center"/>
            </w:pPr>
            <w:r/>
            <w:r>
              <w:rPr>
                <w:rFonts w:ascii="Times New Roman" w:hAnsi="Times New Roman" w:eastAsia="宋体"/>
                <w:sz w:val="28"/>
              </w:rPr>
              <w:t>45</w:t>
            </w:r>
          </w:p>
        </w:tc>
        <w:tc>
          <w:tcPr>
            <w:tcW w:type="dxa" w:w="1511"/>
          </w:tcPr>
          <w:p>
            <w:pPr>
              <w:jc w:val="center"/>
            </w:pPr>
            <w:r/>
            <w:r>
              <w:rPr>
                <w:rFonts w:ascii="Times New Roman" w:hAnsi="Times New Roman" w:eastAsia="宋体"/>
                <w:sz w:val="28"/>
              </w:rPr>
              <w:t>87.5</w:t>
            </w:r>
          </w:p>
        </w:tc>
        <w:tc>
          <w:tcPr>
            <w:tcW w:type="dxa" w:w="1511"/>
          </w:tcPr>
          <w:p>
            <w:pPr>
              <w:jc w:val="center"/>
            </w:pPr>
            <w:r/>
            <w:r>
              <w:rPr>
                <w:rFonts w:ascii="Times New Roman" w:hAnsi="Times New Roman" w:eastAsia="宋体"/>
                <w:sz w:val="28"/>
              </w:rPr>
              <w:t>181.25</w:t>
            </w:r>
          </w:p>
        </w:tc>
      </w:tr>
      <w:tr>
        <w:tc>
          <w:tcPr>
            <w:tcW w:type="dxa" w:w="1511"/>
          </w:tcPr>
          <w:p>
            <w:pPr>
              <w:jc w:val="center"/>
            </w:pPr>
            <w:r/>
            <w:r>
              <w:rPr>
                <w:rFonts w:ascii="Times New Roman" w:hAnsi="Times New Roman" w:eastAsia="宋体"/>
                <w:sz w:val="28"/>
              </w:rPr>
              <w:t>净利润</w:t>
            </w:r>
          </w:p>
        </w:tc>
        <w:tc>
          <w:tcPr>
            <w:tcW w:type="dxa" w:w="1511"/>
          </w:tcPr>
          <w:p>
            <w:pPr>
              <w:jc w:val="center"/>
            </w:pPr>
            <w:r/>
            <w:r>
              <w:rPr>
                <w:rFonts w:ascii="Times New Roman" w:hAnsi="Times New Roman" w:eastAsia="宋体"/>
                <w:sz w:val="28"/>
              </w:rPr>
              <w:t>-37.5</w:t>
            </w:r>
          </w:p>
        </w:tc>
        <w:tc>
          <w:tcPr>
            <w:tcW w:type="dxa" w:w="1511"/>
          </w:tcPr>
          <w:p>
            <w:pPr>
              <w:jc w:val="center"/>
            </w:pPr>
            <w:r/>
            <w:r>
              <w:rPr>
                <w:rFonts w:ascii="Times New Roman" w:hAnsi="Times New Roman" w:eastAsia="宋体"/>
                <w:sz w:val="28"/>
              </w:rPr>
              <w:t>153.75</w:t>
            </w:r>
          </w:p>
        </w:tc>
        <w:tc>
          <w:tcPr>
            <w:tcW w:type="dxa" w:w="1511"/>
          </w:tcPr>
          <w:p>
            <w:pPr>
              <w:jc w:val="center"/>
            </w:pPr>
            <w:r/>
            <w:r>
              <w:rPr>
                <w:rFonts w:ascii="Times New Roman" w:hAnsi="Times New Roman" w:eastAsia="宋体"/>
                <w:sz w:val="28"/>
              </w:rPr>
              <w:t>525</w:t>
            </w:r>
          </w:p>
        </w:tc>
        <w:tc>
          <w:tcPr>
            <w:tcW w:type="dxa" w:w="1511"/>
          </w:tcPr>
          <w:p>
            <w:pPr>
              <w:jc w:val="center"/>
            </w:pPr>
            <w:r/>
            <w:r>
              <w:rPr>
                <w:rFonts w:ascii="Times New Roman" w:hAnsi="Times New Roman" w:eastAsia="宋体"/>
                <w:sz w:val="28"/>
              </w:rPr>
              <w:t>1012.5</w:t>
            </w:r>
          </w:p>
        </w:tc>
        <w:tc>
          <w:tcPr>
            <w:tcW w:type="dxa" w:w="1511"/>
          </w:tcPr>
          <w:p>
            <w:pPr>
              <w:jc w:val="center"/>
            </w:pPr>
            <w:r/>
            <w:r>
              <w:rPr>
                <w:rFonts w:ascii="Times New Roman" w:hAnsi="Times New Roman" w:eastAsia="宋体"/>
                <w:sz w:val="28"/>
              </w:rPr>
              <w:t>1593.75</w:t>
            </w:r>
          </w:p>
        </w:tc>
      </w:tr>
    </w:tbl>
    <w:p>
      <w:pPr>
        <w:spacing w:line="560" w:lineRule="exact" w:before="0" w:after="0"/>
        <w:jc w:val="center"/>
      </w:pPr>
      <w:r>
        <w:rPr>
          <w:rFonts w:ascii="Times New Roman" w:hAnsi="Times New Roman" w:eastAsia="黑体"/>
          <w:sz w:val="24"/>
        </w:rPr>
        <w:t>表7.3 现金流量表（万元）</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8"/>
              </w:rPr>
              <w:t>项目</w:t>
            </w:r>
          </w:p>
        </w:tc>
        <w:tc>
          <w:tcPr>
            <w:tcW w:type="dxa" w:w="1511"/>
          </w:tcPr>
          <w:p>
            <w:pPr>
              <w:jc w:val="center"/>
            </w:pPr>
            <w:r/>
            <w:r>
              <w:rPr>
                <w:rFonts w:ascii="Times New Roman" w:hAnsi="Times New Roman" w:eastAsia="宋体"/>
                <w:b/>
                <w:sz w:val="28"/>
              </w:rPr>
              <w:t>第 1 年</w:t>
            </w:r>
          </w:p>
        </w:tc>
        <w:tc>
          <w:tcPr>
            <w:tcW w:type="dxa" w:w="1511"/>
          </w:tcPr>
          <w:p>
            <w:pPr>
              <w:jc w:val="center"/>
            </w:pPr>
            <w:r/>
            <w:r>
              <w:rPr>
                <w:rFonts w:ascii="Times New Roman" w:hAnsi="Times New Roman" w:eastAsia="宋体"/>
                <w:b/>
                <w:sz w:val="28"/>
              </w:rPr>
              <w:t>第 2 年</w:t>
            </w:r>
          </w:p>
        </w:tc>
        <w:tc>
          <w:tcPr>
            <w:tcW w:type="dxa" w:w="1511"/>
          </w:tcPr>
          <w:p>
            <w:pPr>
              <w:jc w:val="center"/>
            </w:pPr>
            <w:r/>
            <w:r>
              <w:rPr>
                <w:rFonts w:ascii="Times New Roman" w:hAnsi="Times New Roman" w:eastAsia="宋体"/>
                <w:b/>
                <w:sz w:val="28"/>
              </w:rPr>
              <w:t>第 3 年</w:t>
            </w:r>
          </w:p>
        </w:tc>
        <w:tc>
          <w:tcPr>
            <w:tcW w:type="dxa" w:w="1511"/>
          </w:tcPr>
          <w:p>
            <w:pPr>
              <w:jc w:val="center"/>
            </w:pPr>
            <w:r/>
            <w:r>
              <w:rPr>
                <w:rFonts w:ascii="Times New Roman" w:hAnsi="Times New Roman" w:eastAsia="宋体"/>
                <w:b/>
                <w:sz w:val="28"/>
              </w:rPr>
              <w:t>第 4 年</w:t>
            </w:r>
          </w:p>
        </w:tc>
        <w:tc>
          <w:tcPr>
            <w:tcW w:type="dxa" w:w="1511"/>
          </w:tcPr>
          <w:p>
            <w:pPr>
              <w:jc w:val="center"/>
            </w:pPr>
            <w:r/>
            <w:r>
              <w:rPr>
                <w:rFonts w:ascii="Times New Roman" w:hAnsi="Times New Roman" w:eastAsia="宋体"/>
                <w:b/>
                <w:sz w:val="28"/>
              </w:rPr>
              <w:t>第 5 年</w:t>
            </w:r>
          </w:p>
        </w:tc>
      </w:tr>
      <w:tr>
        <w:tc>
          <w:tcPr>
            <w:tcW w:type="dxa" w:w="1511"/>
          </w:tcPr>
          <w:p>
            <w:pPr>
              <w:jc w:val="center"/>
            </w:pPr>
            <w:r/>
            <w:r>
              <w:rPr>
                <w:rFonts w:ascii="Times New Roman" w:hAnsi="Times New Roman" w:eastAsia="宋体"/>
                <w:sz w:val="28"/>
              </w:rPr>
              <w:t>经营现金流</w:t>
            </w:r>
          </w:p>
        </w:tc>
        <w:tc>
          <w:tcPr>
            <w:tcW w:type="dxa" w:w="1511"/>
          </w:tcPr>
          <w:p>
            <w:pPr>
              <w:jc w:val="center"/>
            </w:pPr>
            <w:r/>
            <w:r>
              <w:rPr>
                <w:rFonts w:ascii="Times New Roman" w:hAnsi="Times New Roman" w:eastAsia="宋体"/>
                <w:sz w:val="28"/>
              </w:rPr>
              <w:t>-20</w:t>
            </w:r>
          </w:p>
        </w:tc>
        <w:tc>
          <w:tcPr>
            <w:tcW w:type="dxa" w:w="1511"/>
          </w:tcPr>
          <w:p>
            <w:pPr>
              <w:jc w:val="center"/>
            </w:pPr>
            <w:r/>
            <w:r>
              <w:rPr>
                <w:rFonts w:ascii="Times New Roman" w:hAnsi="Times New Roman" w:eastAsia="宋体"/>
                <w:sz w:val="28"/>
              </w:rPr>
              <w:t>200</w:t>
            </w:r>
          </w:p>
        </w:tc>
        <w:tc>
          <w:tcPr>
            <w:tcW w:type="dxa" w:w="1511"/>
          </w:tcPr>
          <w:p>
            <w:pPr>
              <w:jc w:val="center"/>
            </w:pPr>
            <w:r/>
            <w:r>
              <w:rPr>
                <w:rFonts w:ascii="Times New Roman" w:hAnsi="Times New Roman" w:eastAsia="宋体"/>
                <w:sz w:val="28"/>
              </w:rPr>
              <w:t>750</w:t>
            </w:r>
          </w:p>
        </w:tc>
        <w:tc>
          <w:tcPr>
            <w:tcW w:type="dxa" w:w="1511"/>
          </w:tcPr>
          <w:p>
            <w:pPr>
              <w:jc w:val="center"/>
            </w:pPr>
            <w:r/>
            <w:r>
              <w:rPr>
                <w:rFonts w:ascii="Times New Roman" w:hAnsi="Times New Roman" w:eastAsia="宋体"/>
                <w:sz w:val="28"/>
              </w:rPr>
              <w:t>1400</w:t>
            </w:r>
          </w:p>
        </w:tc>
        <w:tc>
          <w:tcPr>
            <w:tcW w:type="dxa" w:w="1511"/>
          </w:tcPr>
          <w:p>
            <w:pPr>
              <w:jc w:val="center"/>
            </w:pPr>
            <w:r/>
            <w:r>
              <w:rPr>
                <w:rFonts w:ascii="Times New Roman" w:hAnsi="Times New Roman" w:eastAsia="宋体"/>
                <w:sz w:val="28"/>
              </w:rPr>
              <w:t>2200</w:t>
            </w:r>
          </w:p>
        </w:tc>
      </w:tr>
      <w:tr>
        <w:tc>
          <w:tcPr>
            <w:tcW w:type="dxa" w:w="1511"/>
          </w:tcPr>
          <w:p>
            <w:pPr>
              <w:jc w:val="center"/>
            </w:pPr>
            <w:r/>
            <w:r>
              <w:rPr>
                <w:rFonts w:ascii="Times New Roman" w:hAnsi="Times New Roman" w:eastAsia="宋体"/>
                <w:sz w:val="28"/>
              </w:rPr>
              <w:t>投资现金流</w:t>
            </w:r>
          </w:p>
        </w:tc>
        <w:tc>
          <w:tcPr>
            <w:tcW w:type="dxa" w:w="1511"/>
          </w:tcPr>
          <w:p>
            <w:pPr>
              <w:jc w:val="center"/>
            </w:pPr>
            <w:r/>
            <w:r>
              <w:rPr>
                <w:rFonts w:ascii="Times New Roman" w:hAnsi="Times New Roman" w:eastAsia="宋体"/>
                <w:sz w:val="28"/>
              </w:rPr>
              <w:t>-200</w:t>
            </w:r>
          </w:p>
        </w:tc>
        <w:tc>
          <w:tcPr>
            <w:tcW w:type="dxa" w:w="1511"/>
          </w:tcPr>
          <w:p>
            <w:pPr>
              <w:jc w:val="center"/>
            </w:pPr>
            <w:r/>
            <w:r>
              <w:rPr>
                <w:rFonts w:ascii="Times New Roman" w:hAnsi="Times New Roman" w:eastAsia="宋体"/>
                <w:sz w:val="28"/>
              </w:rPr>
              <w:t>-50</w:t>
            </w:r>
          </w:p>
        </w:tc>
        <w:tc>
          <w:tcPr>
            <w:tcW w:type="dxa" w:w="1511"/>
          </w:tcPr>
          <w:p>
            <w:pPr>
              <w:jc w:val="center"/>
            </w:pPr>
            <w:r/>
            <w:r>
              <w:rPr>
                <w:rFonts w:ascii="Times New Roman" w:hAnsi="Times New Roman" w:eastAsia="宋体"/>
                <w:sz w:val="28"/>
              </w:rPr>
              <w:t>-50</w:t>
            </w:r>
          </w:p>
        </w:tc>
        <w:tc>
          <w:tcPr>
            <w:tcW w:type="dxa" w:w="1511"/>
          </w:tcPr>
          <w:p>
            <w:pPr>
              <w:jc w:val="center"/>
            </w:pPr>
            <w:r/>
            <w:r>
              <w:rPr>
                <w:rFonts w:ascii="Times New Roman" w:hAnsi="Times New Roman" w:eastAsia="宋体"/>
                <w:sz w:val="28"/>
              </w:rPr>
              <w:t>-50</w:t>
            </w:r>
          </w:p>
        </w:tc>
        <w:tc>
          <w:tcPr>
            <w:tcW w:type="dxa" w:w="1511"/>
          </w:tcPr>
          <w:p>
            <w:pPr>
              <w:jc w:val="center"/>
            </w:pPr>
            <w:r/>
            <w:r>
              <w:rPr>
                <w:rFonts w:ascii="Times New Roman" w:hAnsi="Times New Roman" w:eastAsia="宋体"/>
                <w:sz w:val="28"/>
              </w:rPr>
              <w:t>-50</w:t>
            </w:r>
          </w:p>
        </w:tc>
      </w:tr>
      <w:tr>
        <w:tc>
          <w:tcPr>
            <w:tcW w:type="dxa" w:w="1511"/>
          </w:tcPr>
          <w:p>
            <w:pPr>
              <w:jc w:val="center"/>
            </w:pPr>
            <w:r/>
            <w:r>
              <w:rPr>
                <w:rFonts w:ascii="Times New Roman" w:hAnsi="Times New Roman" w:eastAsia="宋体"/>
                <w:sz w:val="28"/>
              </w:rPr>
              <w:t>筹资现金流</w:t>
            </w:r>
          </w:p>
        </w:tc>
        <w:tc>
          <w:tcPr>
            <w:tcW w:type="dxa" w:w="1511"/>
          </w:tcPr>
          <w:p>
            <w:pPr>
              <w:jc w:val="center"/>
            </w:pPr>
            <w:r/>
            <w:r>
              <w:rPr>
                <w:rFonts w:ascii="Times New Roman" w:hAnsi="Times New Roman" w:eastAsia="宋体"/>
                <w:sz w:val="28"/>
              </w:rPr>
              <w:t>200</w:t>
            </w:r>
          </w:p>
        </w:tc>
        <w:tc>
          <w:tcPr>
            <w:tcW w:type="dxa" w:w="1511"/>
          </w:tcPr>
          <w:p>
            <w:pPr>
              <w:jc w:val="center"/>
            </w:pPr>
            <w:r/>
            <w:r>
              <w:rPr>
                <w:rFonts w:ascii="Times New Roman" w:hAnsi="Times New Roman" w:eastAsia="宋体"/>
                <w:sz w:val="28"/>
              </w:rPr>
              <w:t>0</w:t>
            </w:r>
          </w:p>
        </w:tc>
        <w:tc>
          <w:tcPr>
            <w:tcW w:type="dxa" w:w="1511"/>
          </w:tcPr>
          <w:p>
            <w:pPr>
              <w:jc w:val="center"/>
            </w:pPr>
            <w:r/>
            <w:r>
              <w:rPr>
                <w:rFonts w:ascii="Times New Roman" w:hAnsi="Times New Roman" w:eastAsia="宋体"/>
                <w:sz w:val="28"/>
              </w:rPr>
              <w:t>0</w:t>
            </w:r>
          </w:p>
        </w:tc>
        <w:tc>
          <w:tcPr>
            <w:tcW w:type="dxa" w:w="1511"/>
          </w:tcPr>
          <w:p>
            <w:pPr>
              <w:jc w:val="center"/>
            </w:pPr>
            <w:r/>
            <w:r>
              <w:rPr>
                <w:rFonts w:ascii="Times New Roman" w:hAnsi="Times New Roman" w:eastAsia="宋体"/>
                <w:sz w:val="28"/>
              </w:rPr>
              <w:t>-100</w:t>
            </w:r>
          </w:p>
        </w:tc>
        <w:tc>
          <w:tcPr>
            <w:tcW w:type="dxa" w:w="1511"/>
          </w:tcPr>
          <w:p>
            <w:pPr>
              <w:jc w:val="center"/>
            </w:pPr>
            <w:r/>
            <w:r>
              <w:rPr>
                <w:rFonts w:ascii="Times New Roman" w:hAnsi="Times New Roman" w:eastAsia="宋体"/>
                <w:sz w:val="28"/>
              </w:rPr>
              <w:t>-200</w:t>
            </w:r>
          </w:p>
        </w:tc>
      </w:tr>
      <w:tr>
        <w:tc>
          <w:tcPr>
            <w:tcW w:type="dxa" w:w="1511"/>
          </w:tcPr>
          <w:p>
            <w:pPr>
              <w:jc w:val="center"/>
            </w:pPr>
            <w:r/>
            <w:r>
              <w:rPr>
                <w:rFonts w:ascii="Times New Roman" w:hAnsi="Times New Roman" w:eastAsia="宋体"/>
                <w:sz w:val="28"/>
              </w:rPr>
              <w:t>现金净增加额</w:t>
            </w:r>
          </w:p>
        </w:tc>
        <w:tc>
          <w:tcPr>
            <w:tcW w:type="dxa" w:w="1511"/>
          </w:tcPr>
          <w:p>
            <w:pPr>
              <w:jc w:val="center"/>
            </w:pPr>
            <w:r/>
            <w:r>
              <w:rPr>
                <w:rFonts w:ascii="Times New Roman" w:hAnsi="Times New Roman" w:eastAsia="宋体"/>
                <w:sz w:val="28"/>
              </w:rPr>
              <w:t>-20</w:t>
            </w:r>
          </w:p>
        </w:tc>
        <w:tc>
          <w:tcPr>
            <w:tcW w:type="dxa" w:w="1511"/>
          </w:tcPr>
          <w:p>
            <w:pPr>
              <w:jc w:val="center"/>
            </w:pPr>
            <w:r/>
            <w:r>
              <w:rPr>
                <w:rFonts w:ascii="Times New Roman" w:hAnsi="Times New Roman" w:eastAsia="宋体"/>
                <w:sz w:val="28"/>
              </w:rPr>
              <w:t>150</w:t>
            </w:r>
          </w:p>
        </w:tc>
        <w:tc>
          <w:tcPr>
            <w:tcW w:type="dxa" w:w="1511"/>
          </w:tcPr>
          <w:p>
            <w:pPr>
              <w:jc w:val="center"/>
            </w:pPr>
            <w:r/>
            <w:r>
              <w:rPr>
                <w:rFonts w:ascii="Times New Roman" w:hAnsi="Times New Roman" w:eastAsia="宋体"/>
                <w:sz w:val="28"/>
              </w:rPr>
              <w:t>700</w:t>
            </w:r>
          </w:p>
        </w:tc>
        <w:tc>
          <w:tcPr>
            <w:tcW w:type="dxa" w:w="1511"/>
          </w:tcPr>
          <w:p>
            <w:pPr>
              <w:jc w:val="center"/>
            </w:pPr>
            <w:r/>
            <w:r>
              <w:rPr>
                <w:rFonts w:ascii="Times New Roman" w:hAnsi="Times New Roman" w:eastAsia="宋体"/>
                <w:sz w:val="28"/>
              </w:rPr>
              <w:t>1250</w:t>
            </w:r>
          </w:p>
        </w:tc>
        <w:tc>
          <w:tcPr>
            <w:tcW w:type="dxa" w:w="1511"/>
          </w:tcPr>
          <w:p>
            <w:pPr>
              <w:jc w:val="center"/>
            </w:pPr>
            <w:r/>
            <w:r>
              <w:rPr>
                <w:rFonts w:ascii="Times New Roman" w:hAnsi="Times New Roman" w:eastAsia="宋体"/>
                <w:sz w:val="28"/>
              </w:rPr>
              <w:t>1950</w:t>
            </w:r>
          </w:p>
        </w:tc>
      </w:tr>
    </w:tbl>
    <w:p>
      <w:pPr>
        <w:spacing w:line="560" w:lineRule="exact" w:before="0" w:after="0"/>
        <w:jc w:val="center"/>
      </w:pPr>
      <w:r>
        <w:rPr>
          <w:rFonts w:ascii="Times New Roman" w:hAnsi="Times New Roman" w:eastAsia="黑体"/>
          <w:sz w:val="24"/>
        </w:rPr>
        <w:t>表7.4 资产负债表概要（万元）</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8"/>
              </w:rPr>
              <w:t>项目</w:t>
            </w:r>
          </w:p>
        </w:tc>
        <w:tc>
          <w:tcPr>
            <w:tcW w:type="dxa" w:w="1511"/>
          </w:tcPr>
          <w:p>
            <w:pPr>
              <w:jc w:val="center"/>
            </w:pPr>
            <w:r/>
            <w:r>
              <w:rPr>
                <w:rFonts w:ascii="Times New Roman" w:hAnsi="Times New Roman" w:eastAsia="宋体"/>
                <w:b/>
                <w:sz w:val="28"/>
              </w:rPr>
              <w:t>第 1 年</w:t>
            </w:r>
          </w:p>
        </w:tc>
        <w:tc>
          <w:tcPr>
            <w:tcW w:type="dxa" w:w="1511"/>
          </w:tcPr>
          <w:p>
            <w:pPr>
              <w:jc w:val="center"/>
            </w:pPr>
            <w:r/>
            <w:r>
              <w:rPr>
                <w:rFonts w:ascii="Times New Roman" w:hAnsi="Times New Roman" w:eastAsia="宋体"/>
                <w:b/>
                <w:sz w:val="28"/>
              </w:rPr>
              <w:t>第 2 年</w:t>
            </w:r>
          </w:p>
        </w:tc>
        <w:tc>
          <w:tcPr>
            <w:tcW w:type="dxa" w:w="1511"/>
          </w:tcPr>
          <w:p>
            <w:pPr>
              <w:jc w:val="center"/>
            </w:pPr>
            <w:r/>
            <w:r>
              <w:rPr>
                <w:rFonts w:ascii="Times New Roman" w:hAnsi="Times New Roman" w:eastAsia="宋体"/>
                <w:b/>
                <w:sz w:val="28"/>
              </w:rPr>
              <w:t>第 3 年</w:t>
            </w:r>
          </w:p>
        </w:tc>
        <w:tc>
          <w:tcPr>
            <w:tcW w:type="dxa" w:w="1511"/>
          </w:tcPr>
          <w:p>
            <w:pPr>
              <w:jc w:val="center"/>
            </w:pPr>
            <w:r/>
            <w:r>
              <w:rPr>
                <w:rFonts w:ascii="Times New Roman" w:hAnsi="Times New Roman" w:eastAsia="宋体"/>
                <w:b/>
                <w:sz w:val="28"/>
              </w:rPr>
              <w:t>第 4 年</w:t>
            </w:r>
          </w:p>
        </w:tc>
        <w:tc>
          <w:tcPr>
            <w:tcW w:type="dxa" w:w="1511"/>
          </w:tcPr>
          <w:p>
            <w:pPr>
              <w:jc w:val="center"/>
            </w:pPr>
            <w:r/>
            <w:r>
              <w:rPr>
                <w:rFonts w:ascii="Times New Roman" w:hAnsi="Times New Roman" w:eastAsia="宋体"/>
                <w:b/>
                <w:sz w:val="28"/>
              </w:rPr>
              <w:t>第 5 年</w:t>
            </w:r>
          </w:p>
        </w:tc>
      </w:tr>
      <w:tr>
        <w:tc>
          <w:tcPr>
            <w:tcW w:type="dxa" w:w="1511"/>
          </w:tcPr>
          <w:p>
            <w:pPr>
              <w:jc w:val="center"/>
            </w:pPr>
            <w:r/>
            <w:r>
              <w:rPr>
                <w:rFonts w:ascii="Times New Roman" w:hAnsi="Times New Roman" w:eastAsia="宋体"/>
                <w:sz w:val="28"/>
              </w:rPr>
              <w:t>流动资产</w:t>
            </w:r>
          </w:p>
        </w:tc>
        <w:tc>
          <w:tcPr>
            <w:tcW w:type="dxa" w:w="1511"/>
          </w:tcPr>
          <w:p>
            <w:pPr>
              <w:jc w:val="center"/>
            </w:pPr>
            <w:r/>
            <w:r>
              <w:rPr>
                <w:rFonts w:ascii="Times New Roman" w:hAnsi="Times New Roman" w:eastAsia="宋体"/>
                <w:sz w:val="28"/>
              </w:rPr>
              <w:t>280</w:t>
            </w:r>
          </w:p>
        </w:tc>
        <w:tc>
          <w:tcPr>
            <w:tcW w:type="dxa" w:w="1511"/>
          </w:tcPr>
          <w:p>
            <w:pPr>
              <w:jc w:val="center"/>
            </w:pPr>
            <w:r/>
            <w:r>
              <w:rPr>
                <w:rFonts w:ascii="Times New Roman" w:hAnsi="Times New Roman" w:eastAsia="宋体"/>
                <w:sz w:val="28"/>
              </w:rPr>
              <w:t>520</w:t>
            </w:r>
          </w:p>
        </w:tc>
        <w:tc>
          <w:tcPr>
            <w:tcW w:type="dxa" w:w="1511"/>
          </w:tcPr>
          <w:p>
            <w:pPr>
              <w:jc w:val="center"/>
            </w:pPr>
            <w:r/>
            <w:r>
              <w:rPr>
                <w:rFonts w:ascii="Times New Roman" w:hAnsi="Times New Roman" w:eastAsia="宋体"/>
                <w:sz w:val="28"/>
              </w:rPr>
              <w:t>1300</w:t>
            </w:r>
          </w:p>
        </w:tc>
        <w:tc>
          <w:tcPr>
            <w:tcW w:type="dxa" w:w="1511"/>
          </w:tcPr>
          <w:p>
            <w:pPr>
              <w:jc w:val="center"/>
            </w:pPr>
            <w:r/>
            <w:r>
              <w:rPr>
                <w:rFonts w:ascii="Times New Roman" w:hAnsi="Times New Roman" w:eastAsia="宋体"/>
                <w:sz w:val="28"/>
              </w:rPr>
              <w:t>2700</w:t>
            </w:r>
          </w:p>
        </w:tc>
        <w:tc>
          <w:tcPr>
            <w:tcW w:type="dxa" w:w="1511"/>
          </w:tcPr>
          <w:p>
            <w:pPr>
              <w:jc w:val="center"/>
            </w:pPr>
            <w:r/>
            <w:r>
              <w:rPr>
                <w:rFonts w:ascii="Times New Roman" w:hAnsi="Times New Roman" w:eastAsia="宋体"/>
                <w:sz w:val="28"/>
              </w:rPr>
              <w:t>4800</w:t>
            </w:r>
          </w:p>
        </w:tc>
      </w:tr>
      <w:tr>
        <w:tc>
          <w:tcPr>
            <w:tcW w:type="dxa" w:w="1511"/>
          </w:tcPr>
          <w:p>
            <w:pPr>
              <w:jc w:val="center"/>
            </w:pPr>
            <w:r/>
            <w:r>
              <w:rPr>
                <w:rFonts w:ascii="Times New Roman" w:hAnsi="Times New Roman" w:eastAsia="宋体"/>
                <w:sz w:val="28"/>
              </w:rPr>
              <w:t>非流动资产</w:t>
            </w:r>
          </w:p>
        </w:tc>
        <w:tc>
          <w:tcPr>
            <w:tcW w:type="dxa" w:w="1511"/>
          </w:tcPr>
          <w:p>
            <w:pPr>
              <w:jc w:val="center"/>
            </w:pPr>
            <w:r/>
            <w:r>
              <w:rPr>
                <w:rFonts w:ascii="Times New Roman" w:hAnsi="Times New Roman" w:eastAsia="宋体"/>
                <w:sz w:val="28"/>
              </w:rPr>
              <w:t>180</w:t>
            </w:r>
          </w:p>
        </w:tc>
        <w:tc>
          <w:tcPr>
            <w:tcW w:type="dxa" w:w="1511"/>
          </w:tcPr>
          <w:p>
            <w:pPr>
              <w:jc w:val="center"/>
            </w:pPr>
            <w:r/>
            <w:r>
              <w:rPr>
                <w:rFonts w:ascii="Times New Roman" w:hAnsi="Times New Roman" w:eastAsia="宋体"/>
                <w:sz w:val="28"/>
              </w:rPr>
              <w:t>200</w:t>
            </w:r>
          </w:p>
        </w:tc>
        <w:tc>
          <w:tcPr>
            <w:tcW w:type="dxa" w:w="1511"/>
          </w:tcPr>
          <w:p>
            <w:pPr>
              <w:jc w:val="center"/>
            </w:pPr>
            <w:r/>
            <w:r>
              <w:rPr>
                <w:rFonts w:ascii="Times New Roman" w:hAnsi="Times New Roman" w:eastAsia="宋体"/>
                <w:sz w:val="28"/>
              </w:rPr>
              <w:t>220</w:t>
            </w:r>
          </w:p>
        </w:tc>
        <w:tc>
          <w:tcPr>
            <w:tcW w:type="dxa" w:w="1511"/>
          </w:tcPr>
          <w:p>
            <w:pPr>
              <w:jc w:val="center"/>
            </w:pPr>
            <w:r/>
            <w:r>
              <w:rPr>
                <w:rFonts w:ascii="Times New Roman" w:hAnsi="Times New Roman" w:eastAsia="宋体"/>
                <w:sz w:val="28"/>
              </w:rPr>
              <w:t>240</w:t>
            </w:r>
          </w:p>
        </w:tc>
        <w:tc>
          <w:tcPr>
            <w:tcW w:type="dxa" w:w="1511"/>
          </w:tcPr>
          <w:p>
            <w:pPr>
              <w:jc w:val="center"/>
            </w:pPr>
            <w:r/>
            <w:r>
              <w:rPr>
                <w:rFonts w:ascii="Times New Roman" w:hAnsi="Times New Roman" w:eastAsia="宋体"/>
                <w:sz w:val="28"/>
              </w:rPr>
              <w:t>260</w:t>
            </w:r>
          </w:p>
        </w:tc>
      </w:tr>
      <w:tr>
        <w:tc>
          <w:tcPr>
            <w:tcW w:type="dxa" w:w="1511"/>
          </w:tcPr>
          <w:p>
            <w:pPr>
              <w:jc w:val="center"/>
            </w:pPr>
            <w:r/>
            <w:r>
              <w:rPr>
                <w:rFonts w:ascii="Times New Roman" w:hAnsi="Times New Roman" w:eastAsia="宋体"/>
                <w:sz w:val="28"/>
              </w:rPr>
              <w:t>资产总额</w:t>
            </w:r>
          </w:p>
        </w:tc>
        <w:tc>
          <w:tcPr>
            <w:tcW w:type="dxa" w:w="1511"/>
          </w:tcPr>
          <w:p>
            <w:pPr>
              <w:jc w:val="center"/>
            </w:pPr>
            <w:r/>
            <w:r>
              <w:rPr>
                <w:rFonts w:ascii="Times New Roman" w:hAnsi="Times New Roman" w:eastAsia="宋体"/>
                <w:sz w:val="28"/>
              </w:rPr>
              <w:t>460</w:t>
            </w:r>
          </w:p>
        </w:tc>
        <w:tc>
          <w:tcPr>
            <w:tcW w:type="dxa" w:w="1511"/>
          </w:tcPr>
          <w:p>
            <w:pPr>
              <w:jc w:val="center"/>
            </w:pPr>
            <w:r/>
            <w:r>
              <w:rPr>
                <w:rFonts w:ascii="Times New Roman" w:hAnsi="Times New Roman" w:eastAsia="宋体"/>
                <w:sz w:val="28"/>
              </w:rPr>
              <w:t>720</w:t>
            </w:r>
          </w:p>
        </w:tc>
        <w:tc>
          <w:tcPr>
            <w:tcW w:type="dxa" w:w="1511"/>
          </w:tcPr>
          <w:p>
            <w:pPr>
              <w:jc w:val="center"/>
            </w:pPr>
            <w:r/>
            <w:r>
              <w:rPr>
                <w:rFonts w:ascii="Times New Roman" w:hAnsi="Times New Roman" w:eastAsia="宋体"/>
                <w:sz w:val="28"/>
              </w:rPr>
              <w:t>1520</w:t>
            </w:r>
          </w:p>
        </w:tc>
        <w:tc>
          <w:tcPr>
            <w:tcW w:type="dxa" w:w="1511"/>
          </w:tcPr>
          <w:p>
            <w:pPr>
              <w:jc w:val="center"/>
            </w:pPr>
            <w:r/>
            <w:r>
              <w:rPr>
                <w:rFonts w:ascii="Times New Roman" w:hAnsi="Times New Roman" w:eastAsia="宋体"/>
                <w:sz w:val="28"/>
              </w:rPr>
              <w:t>2940</w:t>
            </w:r>
          </w:p>
        </w:tc>
        <w:tc>
          <w:tcPr>
            <w:tcW w:type="dxa" w:w="1511"/>
          </w:tcPr>
          <w:p>
            <w:pPr>
              <w:jc w:val="center"/>
            </w:pPr>
            <w:r/>
            <w:r>
              <w:rPr>
                <w:rFonts w:ascii="Times New Roman" w:hAnsi="Times New Roman" w:eastAsia="宋体"/>
                <w:sz w:val="28"/>
              </w:rPr>
              <w:t>5060</w:t>
            </w:r>
          </w:p>
        </w:tc>
      </w:tr>
      <w:tr>
        <w:tc>
          <w:tcPr>
            <w:tcW w:type="dxa" w:w="1511"/>
          </w:tcPr>
          <w:p>
            <w:pPr>
              <w:jc w:val="center"/>
            </w:pPr>
            <w:r/>
            <w:r>
              <w:rPr>
                <w:rFonts w:ascii="Times New Roman" w:hAnsi="Times New Roman" w:eastAsia="宋体"/>
                <w:sz w:val="28"/>
              </w:rPr>
              <w:t>流动负债</w:t>
            </w:r>
          </w:p>
        </w:tc>
        <w:tc>
          <w:tcPr>
            <w:tcW w:type="dxa" w:w="1511"/>
          </w:tcPr>
          <w:p>
            <w:pPr>
              <w:jc w:val="center"/>
            </w:pPr>
            <w:r/>
            <w:r>
              <w:rPr>
                <w:rFonts w:ascii="Times New Roman" w:hAnsi="Times New Roman" w:eastAsia="宋体"/>
                <w:sz w:val="28"/>
              </w:rPr>
              <w:t>100</w:t>
            </w:r>
          </w:p>
        </w:tc>
        <w:tc>
          <w:tcPr>
            <w:tcW w:type="dxa" w:w="1511"/>
          </w:tcPr>
          <w:p>
            <w:pPr>
              <w:jc w:val="center"/>
            </w:pPr>
            <w:r/>
            <w:r>
              <w:rPr>
                <w:rFonts w:ascii="Times New Roman" w:hAnsi="Times New Roman" w:eastAsia="宋体"/>
                <w:sz w:val="28"/>
              </w:rPr>
              <w:t>180</w:t>
            </w:r>
          </w:p>
        </w:tc>
        <w:tc>
          <w:tcPr>
            <w:tcW w:type="dxa" w:w="1511"/>
          </w:tcPr>
          <w:p>
            <w:pPr>
              <w:jc w:val="center"/>
            </w:pPr>
            <w:r/>
            <w:r>
              <w:rPr>
                <w:rFonts w:ascii="Times New Roman" w:hAnsi="Times New Roman" w:eastAsia="宋体"/>
                <w:sz w:val="28"/>
              </w:rPr>
              <w:t>360</w:t>
            </w:r>
          </w:p>
        </w:tc>
        <w:tc>
          <w:tcPr>
            <w:tcW w:type="dxa" w:w="1511"/>
          </w:tcPr>
          <w:p>
            <w:pPr>
              <w:jc w:val="center"/>
            </w:pPr>
            <w:r/>
            <w:r>
              <w:rPr>
                <w:rFonts w:ascii="Times New Roman" w:hAnsi="Times New Roman" w:eastAsia="宋体"/>
                <w:sz w:val="28"/>
              </w:rPr>
              <w:t>580</w:t>
            </w:r>
          </w:p>
        </w:tc>
        <w:tc>
          <w:tcPr>
            <w:tcW w:type="dxa" w:w="1511"/>
          </w:tcPr>
          <w:p>
            <w:pPr>
              <w:jc w:val="center"/>
            </w:pPr>
            <w:r/>
            <w:r>
              <w:rPr>
                <w:rFonts w:ascii="Times New Roman" w:hAnsi="Times New Roman" w:eastAsia="宋体"/>
                <w:sz w:val="28"/>
              </w:rPr>
              <w:t>850</w:t>
            </w:r>
          </w:p>
        </w:tc>
      </w:tr>
      <w:tr>
        <w:tc>
          <w:tcPr>
            <w:tcW w:type="dxa" w:w="1511"/>
          </w:tcPr>
          <w:p>
            <w:pPr>
              <w:jc w:val="center"/>
            </w:pPr>
            <w:r/>
            <w:r>
              <w:rPr>
                <w:rFonts w:ascii="Times New Roman" w:hAnsi="Times New Roman" w:eastAsia="宋体"/>
                <w:sz w:val="28"/>
              </w:rPr>
              <w:t>长期负债</w:t>
            </w:r>
          </w:p>
        </w:tc>
        <w:tc>
          <w:tcPr>
            <w:tcW w:type="dxa" w:w="1511"/>
          </w:tcPr>
          <w:p>
            <w:pPr>
              <w:jc w:val="center"/>
            </w:pPr>
            <w:r/>
            <w:r>
              <w:rPr>
                <w:rFonts w:ascii="Times New Roman" w:hAnsi="Times New Roman" w:eastAsia="宋体"/>
                <w:sz w:val="28"/>
              </w:rPr>
              <w:t>100</w:t>
            </w:r>
          </w:p>
        </w:tc>
        <w:tc>
          <w:tcPr>
            <w:tcW w:type="dxa" w:w="1511"/>
          </w:tcPr>
          <w:p>
            <w:pPr>
              <w:jc w:val="center"/>
            </w:pPr>
            <w:r/>
            <w:r>
              <w:rPr>
                <w:rFonts w:ascii="Times New Roman" w:hAnsi="Times New Roman" w:eastAsia="宋体"/>
                <w:sz w:val="28"/>
              </w:rPr>
              <w:t>80</w:t>
            </w:r>
          </w:p>
        </w:tc>
        <w:tc>
          <w:tcPr>
            <w:tcW w:type="dxa" w:w="1511"/>
          </w:tcPr>
          <w:p>
            <w:pPr>
              <w:jc w:val="center"/>
            </w:pPr>
            <w:r/>
            <w:r>
              <w:rPr>
                <w:rFonts w:ascii="Times New Roman" w:hAnsi="Times New Roman" w:eastAsia="宋体"/>
                <w:sz w:val="28"/>
              </w:rPr>
              <w:t>60</w:t>
            </w:r>
          </w:p>
        </w:tc>
        <w:tc>
          <w:tcPr>
            <w:tcW w:type="dxa" w:w="1511"/>
          </w:tcPr>
          <w:p>
            <w:pPr>
              <w:jc w:val="center"/>
            </w:pPr>
            <w:r/>
            <w:r>
              <w:rPr>
                <w:rFonts w:ascii="Times New Roman" w:hAnsi="Times New Roman" w:eastAsia="宋体"/>
                <w:sz w:val="28"/>
              </w:rPr>
              <w:t>40</w:t>
            </w:r>
          </w:p>
        </w:tc>
        <w:tc>
          <w:tcPr>
            <w:tcW w:type="dxa" w:w="1511"/>
          </w:tcPr>
          <w:p>
            <w:pPr>
              <w:jc w:val="center"/>
            </w:pPr>
            <w:r/>
            <w:r>
              <w:rPr>
                <w:rFonts w:ascii="Times New Roman" w:hAnsi="Times New Roman" w:eastAsia="宋体"/>
                <w:sz w:val="28"/>
              </w:rPr>
              <w:t>20</w:t>
            </w:r>
          </w:p>
        </w:tc>
      </w:tr>
      <w:tr>
        <w:tc>
          <w:tcPr>
            <w:tcW w:type="dxa" w:w="1511"/>
          </w:tcPr>
          <w:p>
            <w:pPr>
              <w:jc w:val="center"/>
            </w:pPr>
            <w:r/>
            <w:r>
              <w:rPr>
                <w:rFonts w:ascii="Times New Roman" w:hAnsi="Times New Roman" w:eastAsia="宋体"/>
                <w:sz w:val="28"/>
              </w:rPr>
              <w:t>所有者权益</w:t>
            </w:r>
          </w:p>
        </w:tc>
        <w:tc>
          <w:tcPr>
            <w:tcW w:type="dxa" w:w="1511"/>
          </w:tcPr>
          <w:p>
            <w:pPr>
              <w:jc w:val="center"/>
            </w:pPr>
            <w:r/>
            <w:r>
              <w:rPr>
                <w:rFonts w:ascii="Times New Roman" w:hAnsi="Times New Roman" w:eastAsia="宋体"/>
                <w:sz w:val="28"/>
              </w:rPr>
              <w:t>260</w:t>
            </w:r>
          </w:p>
        </w:tc>
        <w:tc>
          <w:tcPr>
            <w:tcW w:type="dxa" w:w="1511"/>
          </w:tcPr>
          <w:p>
            <w:pPr>
              <w:jc w:val="center"/>
            </w:pPr>
            <w:r/>
            <w:r>
              <w:rPr>
                <w:rFonts w:ascii="Times New Roman" w:hAnsi="Times New Roman" w:eastAsia="宋体"/>
                <w:sz w:val="28"/>
              </w:rPr>
              <w:t>460</w:t>
            </w:r>
          </w:p>
        </w:tc>
        <w:tc>
          <w:tcPr>
            <w:tcW w:type="dxa" w:w="1511"/>
          </w:tcPr>
          <w:p>
            <w:pPr>
              <w:jc w:val="center"/>
            </w:pPr>
            <w:r/>
            <w:r>
              <w:rPr>
                <w:rFonts w:ascii="Times New Roman" w:hAnsi="Times New Roman" w:eastAsia="宋体"/>
                <w:sz w:val="28"/>
              </w:rPr>
              <w:t>1100</w:t>
            </w:r>
          </w:p>
        </w:tc>
        <w:tc>
          <w:tcPr>
            <w:tcW w:type="dxa" w:w="1511"/>
          </w:tcPr>
          <w:p>
            <w:pPr>
              <w:jc w:val="center"/>
            </w:pPr>
            <w:r/>
            <w:r>
              <w:rPr>
                <w:rFonts w:ascii="Times New Roman" w:hAnsi="Times New Roman" w:eastAsia="宋体"/>
                <w:sz w:val="28"/>
              </w:rPr>
              <w:t>2320</w:t>
            </w:r>
          </w:p>
        </w:tc>
        <w:tc>
          <w:tcPr>
            <w:tcW w:type="dxa" w:w="1511"/>
          </w:tcPr>
          <w:p>
            <w:pPr>
              <w:jc w:val="center"/>
            </w:pPr>
            <w:r/>
            <w:r>
              <w:rPr>
                <w:rFonts w:ascii="Times New Roman" w:hAnsi="Times New Roman" w:eastAsia="宋体"/>
                <w:sz w:val="28"/>
              </w:rPr>
              <w:t>4190</w:t>
            </w:r>
          </w:p>
        </w:tc>
      </w:tr>
    </w:tbl>
    <w:p>
      <w:pPr>
        <w:spacing w:line="560" w:lineRule="exact" w:before="0" w:after="0"/>
        <w:jc w:val="left"/>
      </w:pPr>
      <w:r>
        <w:rPr>
          <w:rFonts w:ascii="Times New Roman" w:hAnsi="Times New Roman" w:eastAsia="黑体"/>
          <w:b w:val="0"/>
          <w:sz w:val="32"/>
        </w:rPr>
        <w:t>八、融资需求</w:t>
      </w:r>
    </w:p>
    <w:p>
      <w:pPr>
        <w:spacing w:line="560" w:lineRule="exact" w:before="0" w:after="0"/>
        <w:jc w:val="left"/>
      </w:pPr>
      <w:r>
        <w:rPr>
          <w:rFonts w:ascii="Times New Roman" w:hAnsi="Times New Roman" w:eastAsia="楷体"/>
          <w:sz w:val="32"/>
        </w:rPr>
        <w:t>1. 融资需求</w:t>
      </w:r>
    </w:p>
    <w:p>
      <w:pPr>
        <w:spacing w:line="560" w:lineRule="exact" w:before="0" w:after="0"/>
        <w:jc w:val="both"/>
      </w:pPr>
      <w:r>
        <w:rPr>
          <w:rFonts w:ascii="Times New Roman" w:hAnsi="Times New Roman" w:eastAsia="宋体"/>
          <w:sz w:val="28"/>
        </w:rPr>
        <w:t>本轮拟引入风险投资 200 万元，出让 68% 股权，公司投后估值约 294 万元。估值依据为参考早期硬科技初创项目通常按"3—5 倍 P/S（销售收入倍数）+ 3—5 倍 P/E（净利润倍数）"区间，结合 5 年净利润 1593.75 万元贴现回报，本轮估值具有充分支撑。</w:t>
      </w:r>
    </w:p>
    <w:p>
      <w:pPr>
        <w:spacing w:line="560" w:lineRule="exact" w:before="0" w:after="0"/>
        <w:jc w:val="center"/>
      </w:pPr>
      <w:r>
        <w:rPr>
          <w:rFonts w:ascii="Times New Roman" w:hAnsi="Times New Roman" w:eastAsia="黑体"/>
          <w:sz w:val="24"/>
        </w:rPr>
        <w:t>表8.1 融资资金使用规划</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
              <w:rPr>
                <w:rFonts w:ascii="Times New Roman" w:hAnsi="Times New Roman" w:eastAsia="宋体"/>
                <w:b/>
                <w:sz w:val="28"/>
              </w:rPr>
              <w:t>用途</w:t>
            </w:r>
          </w:p>
        </w:tc>
        <w:tc>
          <w:tcPr>
            <w:tcW w:type="dxa" w:w="2266"/>
          </w:tcPr>
          <w:p>
            <w:pPr>
              <w:jc w:val="center"/>
            </w:pPr>
            <w:r/>
            <w:r>
              <w:rPr>
                <w:rFonts w:ascii="Times New Roman" w:hAnsi="Times New Roman" w:eastAsia="宋体"/>
                <w:b/>
                <w:sz w:val="28"/>
              </w:rPr>
              <w:t>金额（万元）</w:t>
            </w:r>
          </w:p>
        </w:tc>
        <w:tc>
          <w:tcPr>
            <w:tcW w:type="dxa" w:w="2266"/>
          </w:tcPr>
          <w:p>
            <w:pPr>
              <w:jc w:val="center"/>
            </w:pPr>
            <w:r/>
            <w:r>
              <w:rPr>
                <w:rFonts w:ascii="Times New Roman" w:hAnsi="Times New Roman" w:eastAsia="宋体"/>
                <w:b/>
                <w:sz w:val="28"/>
              </w:rPr>
              <w:t>占比</w:t>
            </w:r>
          </w:p>
        </w:tc>
        <w:tc>
          <w:tcPr>
            <w:tcW w:type="dxa" w:w="2266"/>
          </w:tcPr>
          <w:p>
            <w:pPr>
              <w:jc w:val="center"/>
            </w:pPr>
            <w:r/>
            <w:r>
              <w:rPr>
                <w:rFonts w:ascii="Times New Roman" w:hAnsi="Times New Roman" w:eastAsia="宋体"/>
                <w:b/>
                <w:sz w:val="28"/>
              </w:rPr>
              <w:t>关键事项</w:t>
            </w:r>
          </w:p>
        </w:tc>
      </w:tr>
      <w:tr>
        <w:tc>
          <w:tcPr>
            <w:tcW w:type="dxa" w:w="2266"/>
          </w:tcPr>
          <w:p>
            <w:pPr>
              <w:jc w:val="center"/>
            </w:pPr>
            <w:r/>
            <w:r>
              <w:rPr>
                <w:rFonts w:ascii="Times New Roman" w:hAnsi="Times New Roman" w:eastAsia="宋体"/>
                <w:sz w:val="28"/>
              </w:rPr>
              <w:t>研发投入</w:t>
            </w:r>
          </w:p>
        </w:tc>
        <w:tc>
          <w:tcPr>
            <w:tcW w:type="dxa" w:w="2266"/>
          </w:tcPr>
          <w:p>
            <w:pPr>
              <w:jc w:val="center"/>
            </w:pPr>
            <w:r/>
            <w:r>
              <w:rPr>
                <w:rFonts w:ascii="Times New Roman" w:hAnsi="Times New Roman" w:eastAsia="宋体"/>
                <w:sz w:val="28"/>
              </w:rPr>
              <w:t>70</w:t>
            </w:r>
          </w:p>
        </w:tc>
        <w:tc>
          <w:tcPr>
            <w:tcW w:type="dxa" w:w="2266"/>
          </w:tcPr>
          <w:p>
            <w:pPr>
              <w:jc w:val="center"/>
            </w:pPr>
            <w:r/>
            <w:r>
              <w:rPr>
                <w:rFonts w:ascii="Times New Roman" w:hAnsi="Times New Roman" w:eastAsia="宋体"/>
                <w:sz w:val="28"/>
              </w:rPr>
              <w:t>35%</w:t>
            </w:r>
          </w:p>
        </w:tc>
        <w:tc>
          <w:tcPr>
            <w:tcW w:type="dxa" w:w="2266"/>
          </w:tcPr>
          <w:p>
            <w:pPr>
              <w:jc w:val="center"/>
            </w:pPr>
            <w:r/>
            <w:r>
              <w:rPr>
                <w:rFonts w:ascii="Times New Roman" w:hAnsi="Times New Roman" w:eastAsia="宋体"/>
                <w:sz w:val="28"/>
              </w:rPr>
              <w:t>第二代产品迭代、专利与软著申报、第三方检测</w:t>
            </w:r>
          </w:p>
        </w:tc>
      </w:tr>
      <w:tr>
        <w:tc>
          <w:tcPr>
            <w:tcW w:type="dxa" w:w="2266"/>
          </w:tcPr>
          <w:p>
            <w:pPr>
              <w:jc w:val="center"/>
            </w:pPr>
            <w:r/>
            <w:r>
              <w:rPr>
                <w:rFonts w:ascii="Times New Roman" w:hAnsi="Times New Roman" w:eastAsia="宋体"/>
                <w:sz w:val="28"/>
              </w:rPr>
              <w:t>生产与试制</w:t>
            </w:r>
          </w:p>
        </w:tc>
        <w:tc>
          <w:tcPr>
            <w:tcW w:type="dxa" w:w="2266"/>
          </w:tcPr>
          <w:p>
            <w:pPr>
              <w:jc w:val="center"/>
            </w:pPr>
            <w:r/>
            <w:r>
              <w:rPr>
                <w:rFonts w:ascii="Times New Roman" w:hAnsi="Times New Roman" w:eastAsia="宋体"/>
                <w:sz w:val="28"/>
              </w:rPr>
              <w:t>50</w:t>
            </w:r>
          </w:p>
        </w:tc>
        <w:tc>
          <w:tcPr>
            <w:tcW w:type="dxa" w:w="2266"/>
          </w:tcPr>
          <w:p>
            <w:pPr>
              <w:jc w:val="center"/>
            </w:pPr>
            <w:r/>
            <w:r>
              <w:rPr>
                <w:rFonts w:ascii="Times New Roman" w:hAnsi="Times New Roman" w:eastAsia="宋体"/>
                <w:sz w:val="28"/>
              </w:rPr>
              <w:t>25%</w:t>
            </w:r>
          </w:p>
        </w:tc>
        <w:tc>
          <w:tcPr>
            <w:tcW w:type="dxa" w:w="2266"/>
          </w:tcPr>
          <w:p>
            <w:pPr>
              <w:jc w:val="center"/>
            </w:pPr>
            <w:r/>
            <w:r>
              <w:rPr>
                <w:rFonts w:ascii="Times New Roman" w:hAnsi="Times New Roman" w:eastAsia="宋体"/>
                <w:sz w:val="28"/>
              </w:rPr>
              <w:t>小批量产线搭建、工装夹具、试制 30 套样机</w:t>
            </w:r>
          </w:p>
        </w:tc>
      </w:tr>
      <w:tr>
        <w:tc>
          <w:tcPr>
            <w:tcW w:type="dxa" w:w="2266"/>
          </w:tcPr>
          <w:p>
            <w:pPr>
              <w:jc w:val="center"/>
            </w:pPr>
            <w:r/>
            <w:r>
              <w:rPr>
                <w:rFonts w:ascii="Times New Roman" w:hAnsi="Times New Roman" w:eastAsia="宋体"/>
                <w:sz w:val="28"/>
              </w:rPr>
              <w:t>市场拓展</w:t>
            </w:r>
          </w:p>
        </w:tc>
        <w:tc>
          <w:tcPr>
            <w:tcW w:type="dxa" w:w="2266"/>
          </w:tcPr>
          <w:p>
            <w:pPr>
              <w:jc w:val="center"/>
            </w:pPr>
            <w:r/>
            <w:r>
              <w:rPr>
                <w:rFonts w:ascii="Times New Roman" w:hAnsi="Times New Roman" w:eastAsia="宋体"/>
                <w:sz w:val="28"/>
              </w:rPr>
              <w:t>40</w:t>
            </w:r>
          </w:p>
        </w:tc>
        <w:tc>
          <w:tcPr>
            <w:tcW w:type="dxa" w:w="2266"/>
          </w:tcPr>
          <w:p>
            <w:pPr>
              <w:jc w:val="center"/>
            </w:pPr>
            <w:r/>
            <w:r>
              <w:rPr>
                <w:rFonts w:ascii="Times New Roman" w:hAnsi="Times New Roman" w:eastAsia="宋体"/>
                <w:sz w:val="28"/>
              </w:rPr>
              <w:t>20%</w:t>
            </w:r>
          </w:p>
        </w:tc>
        <w:tc>
          <w:tcPr>
            <w:tcW w:type="dxa" w:w="2266"/>
          </w:tcPr>
          <w:p>
            <w:pPr>
              <w:jc w:val="center"/>
            </w:pPr>
            <w:r/>
            <w:r>
              <w:rPr>
                <w:rFonts w:ascii="Times New Roman" w:hAnsi="Times New Roman" w:eastAsia="宋体"/>
                <w:sz w:val="28"/>
              </w:rPr>
              <w:t>行业展会、标杆客户开发、品牌建设、内容营销</w:t>
            </w:r>
          </w:p>
        </w:tc>
      </w:tr>
      <w:tr>
        <w:tc>
          <w:tcPr>
            <w:tcW w:type="dxa" w:w="2266"/>
          </w:tcPr>
          <w:p>
            <w:pPr>
              <w:jc w:val="center"/>
            </w:pPr>
            <w:r/>
            <w:r>
              <w:rPr>
                <w:rFonts w:ascii="Times New Roman" w:hAnsi="Times New Roman" w:eastAsia="宋体"/>
                <w:sz w:val="28"/>
              </w:rPr>
              <w:t>运营管理</w:t>
            </w:r>
          </w:p>
        </w:tc>
        <w:tc>
          <w:tcPr>
            <w:tcW w:type="dxa" w:w="2266"/>
          </w:tcPr>
          <w:p>
            <w:pPr>
              <w:jc w:val="center"/>
            </w:pPr>
            <w:r/>
            <w:r>
              <w:rPr>
                <w:rFonts w:ascii="Times New Roman" w:hAnsi="Times New Roman" w:eastAsia="宋体"/>
                <w:sz w:val="28"/>
              </w:rPr>
              <w:t>20</w:t>
            </w:r>
          </w:p>
        </w:tc>
        <w:tc>
          <w:tcPr>
            <w:tcW w:type="dxa" w:w="2266"/>
          </w:tcPr>
          <w:p>
            <w:pPr>
              <w:jc w:val="center"/>
            </w:pPr>
            <w:r/>
            <w:r>
              <w:rPr>
                <w:rFonts w:ascii="Times New Roman" w:hAnsi="Times New Roman" w:eastAsia="宋体"/>
                <w:sz w:val="28"/>
              </w:rPr>
              <w:t>10%</w:t>
            </w:r>
          </w:p>
        </w:tc>
        <w:tc>
          <w:tcPr>
            <w:tcW w:type="dxa" w:w="2266"/>
          </w:tcPr>
          <w:p>
            <w:pPr>
              <w:jc w:val="center"/>
            </w:pPr>
            <w:r/>
            <w:r>
              <w:rPr>
                <w:rFonts w:ascii="Times New Roman" w:hAnsi="Times New Roman" w:eastAsia="宋体"/>
                <w:sz w:val="28"/>
              </w:rPr>
              <w:t>人员扩充、合规体系建设、信息化工具</w:t>
            </w:r>
          </w:p>
        </w:tc>
      </w:tr>
      <w:tr>
        <w:tc>
          <w:tcPr>
            <w:tcW w:type="dxa" w:w="2266"/>
          </w:tcPr>
          <w:p>
            <w:pPr>
              <w:jc w:val="center"/>
            </w:pPr>
            <w:r/>
            <w:r>
              <w:rPr>
                <w:rFonts w:ascii="Times New Roman" w:hAnsi="Times New Roman" w:eastAsia="宋体"/>
                <w:sz w:val="28"/>
              </w:rPr>
              <w:t>流动资金</w:t>
            </w:r>
          </w:p>
        </w:tc>
        <w:tc>
          <w:tcPr>
            <w:tcW w:type="dxa" w:w="2266"/>
          </w:tcPr>
          <w:p>
            <w:pPr>
              <w:jc w:val="center"/>
            </w:pPr>
            <w:r/>
            <w:r>
              <w:rPr>
                <w:rFonts w:ascii="Times New Roman" w:hAnsi="Times New Roman" w:eastAsia="宋体"/>
                <w:sz w:val="28"/>
              </w:rPr>
              <w:t>20</w:t>
            </w:r>
          </w:p>
        </w:tc>
        <w:tc>
          <w:tcPr>
            <w:tcW w:type="dxa" w:w="2266"/>
          </w:tcPr>
          <w:p>
            <w:pPr>
              <w:jc w:val="center"/>
            </w:pPr>
            <w:r/>
            <w:r>
              <w:rPr>
                <w:rFonts w:ascii="Times New Roman" w:hAnsi="Times New Roman" w:eastAsia="宋体"/>
                <w:sz w:val="28"/>
              </w:rPr>
              <w:t>10%</w:t>
            </w:r>
          </w:p>
        </w:tc>
        <w:tc>
          <w:tcPr>
            <w:tcW w:type="dxa" w:w="2266"/>
          </w:tcPr>
          <w:p>
            <w:pPr>
              <w:jc w:val="center"/>
            </w:pPr>
            <w:r/>
            <w:r>
              <w:rPr>
                <w:rFonts w:ascii="Times New Roman" w:hAnsi="Times New Roman" w:eastAsia="宋体"/>
                <w:sz w:val="28"/>
              </w:rPr>
              <w:t>应收账款周转、备品备件库存</w:t>
            </w:r>
          </w:p>
        </w:tc>
      </w:tr>
    </w:tbl>
    <w:p>
      <w:pPr>
        <w:spacing w:line="560" w:lineRule="exact" w:before="0" w:after="0"/>
        <w:jc w:val="both"/>
      </w:pPr>
      <w:r>
        <w:rPr>
          <w:rFonts w:ascii="Times New Roman" w:hAnsi="Times New Roman" w:eastAsia="宋体"/>
          <w:sz w:val="28"/>
        </w:rPr>
        <w:t>公司尚未完成历史融资，本轮为天使轮。后续规划在第 2—3 年启动 Pre-A/A 轮 1500—2500 万元，主要用于产线扩产、新产品线（中子发生器电控、X 射线安检电控）研发与全国渠道布局。</w:t>
      </w:r>
    </w:p>
    <w:p>
      <w:pPr>
        <w:spacing w:line="560" w:lineRule="exact" w:before="0" w:after="0"/>
        <w:jc w:val="left"/>
      </w:pPr>
      <w:r>
        <w:rPr>
          <w:rFonts w:ascii="Times New Roman" w:hAnsi="Times New Roman" w:eastAsia="楷体"/>
          <w:sz w:val="32"/>
        </w:rPr>
        <w:t>2. 股权架构</w:t>
      </w:r>
    </w:p>
    <w:p>
      <w:pPr>
        <w:spacing w:line="560" w:lineRule="exact" w:before="0" w:after="0"/>
        <w:jc w:val="both"/>
      </w:pPr>
      <w:r>
        <w:rPr>
          <w:rFonts w:ascii="Times New Roman" w:hAnsi="Times New Roman" w:eastAsia="宋体"/>
          <w:sz w:val="28"/>
        </w:rPr>
        <w:t>公司当前股权结构遵循"创始团队控股 + 风险投资支持 + 员工持股预留"原则。本轮融资完成后，团队（含负责人与核心研发骨干）合计持股 32%，本轮投资方持股 68%；预留 8%—10% 期权池，在 Pre-A/A 轮前后激活，用于核心员工与未来高管激励。重大事项需董事会三分之二以上同意，技术路线、产品规划与年度预算由总经理与研发副总联合提案，确保创始团队对核心战略保留决策权。后续融资按比例同步稀释。</w:t>
      </w:r>
    </w:p>
    <w:p>
      <w:pPr>
        <w:spacing w:line="560" w:lineRule="exact" w:before="0" w:after="0"/>
        <w:jc w:val="left"/>
      </w:pPr>
      <w:r>
        <w:rPr>
          <w:rFonts w:ascii="Times New Roman" w:hAnsi="Times New Roman" w:eastAsia="楷体"/>
          <w:sz w:val="32"/>
        </w:rPr>
        <w:t>3. 退出机制</w:t>
      </w:r>
    </w:p>
    <w:p>
      <w:pPr>
        <w:spacing w:line="560" w:lineRule="exact" w:before="0" w:after="0"/>
        <w:jc w:val="both"/>
      </w:pPr>
      <w:r>
        <w:rPr>
          <w:rFonts w:ascii="Times New Roman" w:hAnsi="Times New Roman" w:eastAsia="宋体"/>
          <w:sz w:val="28"/>
        </w:rPr>
        <w:t>为本轮投资方提供三类可行退出路径。其一，IPO，公司目标在 5—7 年内冲击科创板或北交所，依托核应用技术国产化政策红利与稳健财务表现实现公开上市；其二，产业并购，与下游射线源整机制造商、医疗影像或安检设备龙头开展战略并购谈判，预计可获得行业溢价收购；其三，股东回购，在出现公开市场不利情形时，按预先约定回购条款由创始团队或公司以年化 8%—12% 内含报酬率分阶段回购，保障投资方下行风险可控。</w:t>
      </w:r>
    </w:p>
    <w:p>
      <w:pPr>
        <w:spacing w:line="560" w:lineRule="exact" w:before="0" w:after="0"/>
        <w:jc w:val="left"/>
      </w:pPr>
      <w:r>
        <w:rPr>
          <w:rFonts w:ascii="Times New Roman" w:hAnsi="Times New Roman" w:eastAsia="黑体"/>
          <w:b w:val="0"/>
          <w:sz w:val="32"/>
        </w:rPr>
        <w:t>九、风险控制</w:t>
      </w:r>
    </w:p>
    <w:p>
      <w:pPr>
        <w:spacing w:line="560" w:lineRule="exact" w:before="0" w:after="0"/>
        <w:jc w:val="both"/>
      </w:pPr>
      <w:r>
        <w:rPr>
          <w:rFonts w:ascii="Times New Roman" w:hAnsi="Times New Roman" w:eastAsia="宋体"/>
          <w:sz w:val="28"/>
        </w:rPr>
        <w:t>针对每一项风险按"识别—评估—应对—监控"四步法进行管理。</w:t>
      </w:r>
    </w:p>
    <w:p>
      <w:pPr>
        <w:spacing w:line="560" w:lineRule="exact" w:before="0" w:after="0"/>
        <w:jc w:val="left"/>
      </w:pPr>
      <w:r>
        <w:rPr>
          <w:rFonts w:ascii="Times New Roman" w:hAnsi="Times New Roman" w:eastAsia="楷体"/>
          <w:sz w:val="32"/>
        </w:rPr>
        <w:t>1. 技术风险</w:t>
      </w:r>
    </w:p>
    <w:p>
      <w:pPr>
        <w:spacing w:line="560" w:lineRule="exact" w:before="0" w:after="0"/>
        <w:jc w:val="both"/>
      </w:pPr>
      <w:r>
        <w:rPr>
          <w:rFonts w:ascii="Times New Roman" w:hAnsi="Times New Roman" w:eastAsia="宋体"/>
          <w:sz w:val="28"/>
        </w:rPr>
        <w:t>识别方面，技术风险包括工艺迭代风险（SiC/GaN 等新材料替代）、辐射安全与合规风险、知识产权侵权与代码泄漏风险。评估方面，发生概率中等、影响中高。</w:t>
      </w:r>
    </w:p>
    <w:p>
      <w:pPr>
        <w:spacing w:line="560" w:lineRule="exact" w:before="0" w:after="0"/>
        <w:jc w:val="both"/>
      </w:pPr>
      <w:r>
        <w:rPr>
          <w:rFonts w:ascii="Times New Roman" w:hAnsi="Times New Roman" w:eastAsia="宋体"/>
          <w:sz w:val="28"/>
        </w:rPr>
        <w:t>应对方面，每年研发投入占比保持 20% 以上，建立技术雷达与外部专家咨询机制；在研发早期引入辐射防护专家与法务合规顾问，按《放射性同位素与射线装置安全和防护条例》开展全面合规审查，产品中预置辐射剂量控制、应急切断与日志审计；加快在申专利与软著授权进度，建立源代码版本管理与权限控制制度，对核心员工签订竞业禁止与保密协议。监控方面，每季度技术评审、每半年合规审计、知识产权年度盘点。</w:t>
      </w:r>
    </w:p>
    <w:p>
      <w:pPr>
        <w:spacing w:line="560" w:lineRule="exact" w:before="0" w:after="0"/>
        <w:jc w:val="left"/>
      </w:pPr>
      <w:r>
        <w:rPr>
          <w:rFonts w:ascii="Times New Roman" w:hAnsi="Times New Roman" w:eastAsia="楷体"/>
          <w:sz w:val="32"/>
        </w:rPr>
        <w:t>2. 市场风险</w:t>
      </w:r>
    </w:p>
    <w:p>
      <w:pPr>
        <w:spacing w:line="560" w:lineRule="exact" w:before="0" w:after="0"/>
        <w:jc w:val="both"/>
      </w:pPr>
      <w:r>
        <w:rPr>
          <w:rFonts w:ascii="Times New Roman" w:hAnsi="Times New Roman" w:eastAsia="宋体"/>
          <w:sz w:val="28"/>
        </w:rPr>
        <w:t>识别方面，市场风险包括竞争加剧（国际厂商下沉、国内厂商加速软件配套）、客户决策周期长、政策与国际贸易风险。评估方面，发生概率中高、影响中高。</w:t>
      </w:r>
    </w:p>
    <w:p>
      <w:pPr>
        <w:spacing w:line="560" w:lineRule="exact" w:before="0" w:after="0"/>
        <w:jc w:val="both"/>
      </w:pPr>
      <w:r>
        <w:rPr>
          <w:rFonts w:ascii="Times New Roman" w:hAnsi="Times New Roman" w:eastAsia="宋体"/>
          <w:sz w:val="28"/>
        </w:rPr>
        <w:t>应对方面，以"小型化 + 一体化 + 远程数字控制"形成产品代际差异，先发标杆客户与行业渠道建立高客户粘性，持续推出二代、三代产品保持代际领先；建立"试用—评估—批量"三阶段销售漏斗，提供试点机与按项目收费服务降低初次决策门槛，优先与国企客户和系统集成商绑定；核心器件 100% 国产化已显著降低进口依赖，主动参与行业标准制定。监控方面，月度销售漏斗复盘、季度竞品监测、年度政策风险评估。</w:t>
      </w:r>
    </w:p>
    <w:p>
      <w:pPr>
        <w:spacing w:line="560" w:lineRule="exact" w:before="0" w:after="0"/>
        <w:jc w:val="left"/>
      </w:pPr>
      <w:r>
        <w:rPr>
          <w:rFonts w:ascii="Times New Roman" w:hAnsi="Times New Roman" w:eastAsia="楷体"/>
          <w:sz w:val="32"/>
        </w:rPr>
        <w:t>3. 财务与融资风险</w:t>
      </w:r>
    </w:p>
    <w:p>
      <w:pPr>
        <w:spacing w:line="560" w:lineRule="exact" w:before="0" w:after="0"/>
        <w:jc w:val="both"/>
      </w:pPr>
      <w:r>
        <w:rPr>
          <w:rFonts w:ascii="Times New Roman" w:hAnsi="Times New Roman" w:eastAsia="宋体"/>
          <w:sz w:val="28"/>
        </w:rPr>
        <w:t>识别方面，财务与融资风险包括成本失控风险、现金流风险、融资不及预期风险。评估方面，发生概率中等、影响高。</w:t>
      </w:r>
    </w:p>
    <w:p>
      <w:pPr>
        <w:spacing w:line="560" w:lineRule="exact" w:before="0" w:after="0"/>
        <w:jc w:val="both"/>
      </w:pPr>
      <w:r>
        <w:rPr>
          <w:rFonts w:ascii="Times New Roman" w:hAnsi="Times New Roman" w:eastAsia="宋体"/>
          <w:sz w:val="28"/>
        </w:rPr>
        <w:t>应对方面，与核心器件供应商签订年度框架合同锁定价格，建立替代供应商池，推行精益生产与 BOM 成本工程，每季度复盘成本结构；合同采用"30%/40%/30%"分阶段付款条款，对大型客户设置授信额度与坏账准备，建立 6 个月以上现金缓冲；保持稳健营收增长以提升融资议价能力，预留备选融资渠道（地方科创基金、银行知识产权质押贷款、政府专项基金），制定"激进/中性/保守"三套发展规划，随融资进度动态调整。监控方面，月度财务报表、季度现金流压力测试、半年度融资进度评估。</w:t>
      </w:r>
    </w:p>
    <w:p>
      <w:pPr>
        <w:spacing w:line="560" w:lineRule="exact" w:before="0" w:after="0"/>
        <w:jc w:val="left"/>
      </w:pPr>
      <w:r>
        <w:rPr>
          <w:rFonts w:ascii="Times New Roman" w:hAnsi="Times New Roman" w:eastAsia="黑体"/>
          <w:b w:val="0"/>
          <w:sz w:val="32"/>
        </w:rPr>
        <w:t>十、未来展望</w:t>
      </w:r>
    </w:p>
    <w:p>
      <w:pPr>
        <w:spacing w:line="560" w:lineRule="exact" w:before="0" w:after="0"/>
        <w:jc w:val="left"/>
      </w:pPr>
      <w:r>
        <w:rPr>
          <w:rFonts w:ascii="Times New Roman" w:hAnsi="Times New Roman" w:eastAsia="楷体"/>
          <w:sz w:val="32"/>
        </w:rPr>
        <w:t>1. 短期规划</w:t>
      </w:r>
    </w:p>
    <w:p>
      <w:pPr>
        <w:spacing w:line="560" w:lineRule="exact" w:before="0" w:after="0"/>
        <w:jc w:val="both"/>
      </w:pPr>
      <w:r>
        <w:rPr>
          <w:rFonts w:ascii="Times New Roman" w:hAnsi="Times New Roman" w:eastAsia="宋体"/>
          <w:sz w:val="28"/>
        </w:rPr>
        <w:t>2026 年是公司从研发阶段进入产业化阶段的关键年，重点完成下列五项里程碑。</w:t>
      </w:r>
    </w:p>
    <w:p>
      <w:pPr>
        <w:spacing w:line="560" w:lineRule="exact" w:before="0" w:after="0"/>
        <w:jc w:val="center"/>
      </w:pPr>
      <w:r>
        <w:rPr>
          <w:rFonts w:ascii="Times New Roman" w:hAnsi="Times New Roman" w:eastAsia="黑体"/>
          <w:sz w:val="24"/>
        </w:rPr>
        <w:t>表10.1 2026 年关键里程碑</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Times New Roman" w:hAnsi="Times New Roman" w:eastAsia="宋体"/>
                <w:b/>
                <w:sz w:val="28"/>
              </w:rPr>
              <w:t>季度</w:t>
            </w:r>
          </w:p>
        </w:tc>
        <w:tc>
          <w:tcPr>
            <w:tcW w:type="dxa" w:w="3022"/>
          </w:tcPr>
          <w:p>
            <w:pPr>
              <w:jc w:val="center"/>
            </w:pPr>
            <w:r/>
            <w:r>
              <w:rPr>
                <w:rFonts w:ascii="Times New Roman" w:hAnsi="Times New Roman" w:eastAsia="宋体"/>
                <w:b/>
                <w:sz w:val="28"/>
              </w:rPr>
              <w:t>里程碑</w:t>
            </w:r>
          </w:p>
        </w:tc>
        <w:tc>
          <w:tcPr>
            <w:tcW w:type="dxa" w:w="3022"/>
          </w:tcPr>
          <w:p>
            <w:pPr>
              <w:jc w:val="center"/>
            </w:pPr>
            <w:r/>
            <w:r>
              <w:rPr>
                <w:rFonts w:ascii="Times New Roman" w:hAnsi="Times New Roman" w:eastAsia="宋体"/>
                <w:b/>
                <w:sz w:val="28"/>
              </w:rPr>
              <w:t>目标产出</w:t>
            </w:r>
          </w:p>
        </w:tc>
      </w:tr>
      <w:tr>
        <w:tc>
          <w:tcPr>
            <w:tcW w:type="dxa" w:w="3022"/>
          </w:tcPr>
          <w:p>
            <w:pPr>
              <w:jc w:val="center"/>
            </w:pPr>
            <w:r/>
            <w:r>
              <w:rPr>
                <w:rFonts w:ascii="Times New Roman" w:hAnsi="Times New Roman" w:eastAsia="宋体"/>
                <w:sz w:val="28"/>
              </w:rPr>
              <w:t>Q1</w:t>
            </w:r>
          </w:p>
        </w:tc>
        <w:tc>
          <w:tcPr>
            <w:tcW w:type="dxa" w:w="3022"/>
          </w:tcPr>
          <w:p>
            <w:pPr>
              <w:jc w:val="center"/>
            </w:pPr>
            <w:r/>
            <w:r>
              <w:rPr>
                <w:rFonts w:ascii="Times New Roman" w:hAnsi="Times New Roman" w:eastAsia="宋体"/>
                <w:sz w:val="28"/>
              </w:rPr>
              <w:t>实验室全功能稳定性测试收尾</w:t>
            </w:r>
          </w:p>
        </w:tc>
        <w:tc>
          <w:tcPr>
            <w:tcW w:type="dxa" w:w="3022"/>
          </w:tcPr>
          <w:p>
            <w:pPr>
              <w:jc w:val="center"/>
            </w:pPr>
            <w:r/>
            <w:r>
              <w:rPr>
                <w:rFonts w:ascii="Times New Roman" w:hAnsi="Times New Roman" w:eastAsia="宋体"/>
                <w:sz w:val="28"/>
              </w:rPr>
              <w:t>1000 小时连续工作测试报告</w:t>
            </w:r>
          </w:p>
        </w:tc>
      </w:tr>
      <w:tr>
        <w:tc>
          <w:tcPr>
            <w:tcW w:type="dxa" w:w="3022"/>
          </w:tcPr>
          <w:p>
            <w:pPr>
              <w:jc w:val="center"/>
            </w:pPr>
            <w:r/>
            <w:r>
              <w:rPr>
                <w:rFonts w:ascii="Times New Roman" w:hAnsi="Times New Roman" w:eastAsia="宋体"/>
                <w:sz w:val="28"/>
              </w:rPr>
              <w:t>Q2</w:t>
            </w:r>
          </w:p>
        </w:tc>
        <w:tc>
          <w:tcPr>
            <w:tcW w:type="dxa" w:w="3022"/>
          </w:tcPr>
          <w:p>
            <w:pPr>
              <w:jc w:val="center"/>
            </w:pPr>
            <w:r/>
            <w:r>
              <w:rPr>
                <w:rFonts w:ascii="Times New Roman" w:hAnsi="Times New Roman" w:eastAsia="宋体"/>
                <w:sz w:val="28"/>
              </w:rPr>
              <w:t>上海计量院第三方样机测试</w:t>
            </w:r>
          </w:p>
        </w:tc>
        <w:tc>
          <w:tcPr>
            <w:tcW w:type="dxa" w:w="3022"/>
          </w:tcPr>
          <w:p>
            <w:pPr>
              <w:jc w:val="center"/>
            </w:pPr>
            <w:r/>
            <w:r>
              <w:rPr>
                <w:rFonts w:ascii="Times New Roman" w:hAnsi="Times New Roman" w:eastAsia="宋体"/>
                <w:sz w:val="28"/>
              </w:rPr>
              <w:t>第三方测试报告 + 市场适应性验证</w:t>
            </w:r>
          </w:p>
        </w:tc>
      </w:tr>
      <w:tr>
        <w:tc>
          <w:tcPr>
            <w:tcW w:type="dxa" w:w="3022"/>
          </w:tcPr>
          <w:p>
            <w:pPr>
              <w:jc w:val="center"/>
            </w:pPr>
            <w:r/>
            <w:r>
              <w:rPr>
                <w:rFonts w:ascii="Times New Roman" w:hAnsi="Times New Roman" w:eastAsia="宋体"/>
                <w:sz w:val="28"/>
              </w:rPr>
              <w:t>Q3</w:t>
            </w:r>
          </w:p>
        </w:tc>
        <w:tc>
          <w:tcPr>
            <w:tcW w:type="dxa" w:w="3022"/>
          </w:tcPr>
          <w:p>
            <w:pPr>
              <w:jc w:val="center"/>
            </w:pPr>
            <w:r/>
            <w:r>
              <w:rPr>
                <w:rFonts w:ascii="Times New Roman" w:hAnsi="Times New Roman" w:eastAsia="宋体"/>
                <w:sz w:val="28"/>
              </w:rPr>
              <w:t>在申专利与软著授权</w:t>
            </w:r>
          </w:p>
        </w:tc>
        <w:tc>
          <w:tcPr>
            <w:tcW w:type="dxa" w:w="3022"/>
          </w:tcPr>
          <w:p>
            <w:pPr>
              <w:jc w:val="center"/>
            </w:pPr>
            <w:r/>
            <w:r>
              <w:rPr>
                <w:rFonts w:ascii="Times New Roman" w:hAnsi="Times New Roman" w:eastAsia="宋体"/>
                <w:sz w:val="28"/>
              </w:rPr>
              <w:t>实用新型专利 2 项 + 软著 2 项授权</w:t>
            </w:r>
          </w:p>
        </w:tc>
      </w:tr>
      <w:tr>
        <w:tc>
          <w:tcPr>
            <w:tcW w:type="dxa" w:w="3022"/>
          </w:tcPr>
          <w:p>
            <w:pPr>
              <w:jc w:val="center"/>
            </w:pPr>
            <w:r/>
            <w:r>
              <w:rPr>
                <w:rFonts w:ascii="Times New Roman" w:hAnsi="Times New Roman" w:eastAsia="宋体"/>
                <w:sz w:val="28"/>
              </w:rPr>
              <w:t>Q3—Q4</w:t>
            </w:r>
          </w:p>
        </w:tc>
        <w:tc>
          <w:tcPr>
            <w:tcW w:type="dxa" w:w="3022"/>
          </w:tcPr>
          <w:p>
            <w:pPr>
              <w:jc w:val="center"/>
            </w:pPr>
            <w:r/>
            <w:r>
              <w:rPr>
                <w:rFonts w:ascii="Times New Roman" w:hAnsi="Times New Roman" w:eastAsia="宋体"/>
                <w:sz w:val="28"/>
              </w:rPr>
              <w:t>与 2—3 家行业客户达成合作</w:t>
            </w:r>
          </w:p>
        </w:tc>
        <w:tc>
          <w:tcPr>
            <w:tcW w:type="dxa" w:w="3022"/>
          </w:tcPr>
          <w:p>
            <w:pPr>
              <w:jc w:val="center"/>
            </w:pPr>
            <w:r/>
            <w:r>
              <w:rPr>
                <w:rFonts w:ascii="Times New Roman" w:hAnsi="Times New Roman" w:eastAsia="宋体"/>
                <w:sz w:val="28"/>
              </w:rPr>
              <w:t>首批 30 套订单 + 750 万元营收</w:t>
            </w:r>
          </w:p>
        </w:tc>
      </w:tr>
      <w:tr>
        <w:tc>
          <w:tcPr>
            <w:tcW w:type="dxa" w:w="3022"/>
          </w:tcPr>
          <w:p>
            <w:pPr>
              <w:jc w:val="center"/>
            </w:pPr>
            <w:r/>
            <w:r>
              <w:rPr>
                <w:rFonts w:ascii="Times New Roman" w:hAnsi="Times New Roman" w:eastAsia="宋体"/>
                <w:sz w:val="28"/>
              </w:rPr>
              <w:t>Q4</w:t>
            </w:r>
          </w:p>
        </w:tc>
        <w:tc>
          <w:tcPr>
            <w:tcW w:type="dxa" w:w="3022"/>
          </w:tcPr>
          <w:p>
            <w:pPr>
              <w:jc w:val="center"/>
            </w:pPr>
            <w:r/>
            <w:r>
              <w:rPr>
                <w:rFonts w:ascii="Times New Roman" w:hAnsi="Times New Roman" w:eastAsia="宋体"/>
                <w:sz w:val="28"/>
              </w:rPr>
              <w:t>公司合规体系与认证准备</w:t>
            </w:r>
          </w:p>
        </w:tc>
        <w:tc>
          <w:tcPr>
            <w:tcW w:type="dxa" w:w="3022"/>
          </w:tcPr>
          <w:p>
            <w:pPr>
              <w:jc w:val="center"/>
            </w:pPr>
            <w:r/>
            <w:r>
              <w:rPr>
                <w:rFonts w:ascii="Times New Roman" w:hAnsi="Times New Roman" w:eastAsia="宋体"/>
                <w:sz w:val="28"/>
              </w:rPr>
              <w:t>ISO 9001 / CE / CCC 认证启动</w:t>
            </w:r>
          </w:p>
        </w:tc>
      </w:tr>
    </w:tbl>
    <w:p>
      <w:pPr>
        <w:spacing w:line="560" w:lineRule="exact" w:before="0" w:after="0"/>
        <w:jc w:val="left"/>
      </w:pPr>
      <w:r>
        <w:rPr>
          <w:rFonts w:ascii="Times New Roman" w:hAnsi="Times New Roman" w:eastAsia="楷体"/>
          <w:sz w:val="32"/>
        </w:rPr>
        <w:t>2. 中长期规划</w:t>
      </w:r>
    </w:p>
    <w:p>
      <w:pPr>
        <w:spacing w:line="560" w:lineRule="exact" w:before="0" w:after="0"/>
        <w:jc w:val="both"/>
      </w:pPr>
      <w:r>
        <w:rPr>
          <w:rFonts w:ascii="Times New Roman" w:hAnsi="Times New Roman" w:eastAsia="宋体"/>
          <w:sz w:val="28"/>
        </w:rPr>
        <w:t>3 年内公司目标实现年销 120 套、年营收 3000 万元的规模目标，毛利率稳定在 35%、净利率提升至 17.5%，员工规模扩展至 25—30 人。产品方面，推出第二代低噪声、低纹波超高压模块与中子发生器专用电控版本，拓展至海关安检、应急医疗与油气勘探三大新场景；渠道方面，建立华东、华南区域代理网络，并与至少 1 家国资或行业上市公司达成战略合作；融资方面，启动 Pre-A/A 轮 1500—2500 万元，重点投入扩产、新产品线与海外市场试点。</w:t>
      </w:r>
    </w:p>
    <w:p>
      <w:pPr>
        <w:spacing w:line="560" w:lineRule="exact" w:before="0" w:after="0"/>
        <w:jc w:val="both"/>
      </w:pPr>
      <w:r>
        <w:rPr>
          <w:rFonts w:ascii="Times New Roman" w:hAnsi="Times New Roman" w:eastAsia="宋体"/>
          <w:sz w:val="28"/>
        </w:rPr>
        <w:t>5 年远期愿景方面，5 年累计销售 710 套、累计营收 1.775 亿元、第 5 年净利润 1593.75 万元，员工规模达 30—35 人；建成"产品线齐全、客户群稳定、品牌行业领先"的中型先进制造企业，为冲击科创板/北交所或被产业方并购做好充分准备，最终成长为"中国可控放射源电控国产化平台"领军企业。</w:t>
      </w:r>
    </w:p>
    <w:sectPr w:rsidR="00FC693F" w:rsidRPr="0006063C" w:rsidSect="00034616">
      <w:footerReference w:type="default" r:id="rId9"/>
      <w:pgSz w:w="12240" w:h="15840"/>
      <w:pgMar w:top="1984" w:right="1587" w:bottom="1984" w:left="1587" w:header="85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