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第四题  金融风控中的多维关联规则挖掘</w:t>
      </w:r>
    </w:p>
    <w:p>
      <w:r>
        <w:rPr>
          <w:rFonts w:ascii="Times New Roman" w:hAnsi="Times New Roman" w:eastAsia="黑体"/>
          <w:b/>
          <w:sz w:val="30"/>
        </w:rPr>
        <w:t>题目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在金融风控工程场景中（核心需求：挖掘用户信贷数据、消费数据、征信数据的多维关联关系，识别信贷风险隐患），需进行多维关联规则挖掘。请分析多维关联规则挖掘与传统单维关联规则挖掘（如仅挖掘商品关联）的核心区别；结合该场景，列举3个核心维度，并说明如何通过多维关联规则挖掘识别信贷风险，给出具体的工程实现思路。</w:t>
      </w:r>
    </w:p>
    <w:p>
      <w:r>
        <w:rPr>
          <w:rFonts w:ascii="Times New Roman" w:hAnsi="Times New Roman" w:eastAsia="黑体"/>
          <w:b/>
          <w:sz w:val="30"/>
        </w:rPr>
        <w:t>一、多维与单维关联规则的核心区别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单维关联规则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多维关联规则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涉及谓词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同一谓词内的项关联（如 buys(X,牛奶)→buys(X,面包)）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多个不同谓词/属性间的关联（如 age, income, credit_history）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数据形式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单一事务表（项的集合）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多张表/多属性的关系数据（信贷+消费+征信）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项的语义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项无明确属性归属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每个项需带"维度=值"标签，如 income=低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处理难点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频繁项集爆炸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数值属性离散化、维度组合爆炸、跨源数据融合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算法基础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Apriori / FP-growth 直接适用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需先离散化/概念分层，再扩展到属性-值对项空间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典型应用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购物篮分析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风控、医疗诊断、用户精细画像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输出可解释性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"买A的也买B"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"低收入∧多头借贷∧征信查询频繁→高违约风险"，业务含义更强</w:t>
            </w:r>
          </w:p>
        </w:tc>
      </w:tr>
    </w:tbl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关键扩展：多维关联将"项"从"商品"扩展到"&lt;属性,值&gt;"二元组，因此需引入离散化（等宽/等频/聚类分箱）与概念层次（如 income：低/中/高），并区分维内、维间、混合维关联规则。</w:t>
      </w:r>
    </w:p>
    <w:p>
      <w:r>
        <w:rPr>
          <w:rFonts w:ascii="Times New Roman" w:hAnsi="Times New Roman" w:eastAsia="黑体"/>
          <w:b/>
          <w:sz w:val="30"/>
        </w:rPr>
        <w:t>二、金融风控场景的 3 个核心维度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典型属性（已离散化）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D1 信贷维度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信贷申请次数（高/中/低）、未结清贷款笔数、当前逾期天数、负债收入比 DTI（高/低）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D2 消费维度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月均消费额（高/中/低）、夜间消费占比、博彩/高风险类商户占比、消费波动率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D3 征信/行为维度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近 3 月征信查询次数（高/低）、多头借贷数、地址/手机号变更频率、社交关联中黑名单数</w:t>
            </w:r>
          </w:p>
        </w:tc>
      </w:tr>
    </w:tbl>
    <w:p>
      <w:r>
        <w:rPr>
          <w:rFonts w:ascii="Times New Roman" w:hAnsi="Times New Roman" w:eastAsia="黑体"/>
          <w:b/>
          <w:sz w:val="30"/>
        </w:rPr>
        <w:t>三、识别信贷风险的工程实现思路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目标：挖掘形如下述高质量风险规则，用于评分卡补充与拒绝策略：</w:t>
      </w:r>
    </w:p>
    <w:p>
      <w:pPr>
        <w:spacing w:after="40"/>
        <w:ind w:left="283"/>
      </w:pPr>
      <w:r>
        <w:rPr>
          <w:rFonts w:ascii="Consolas" w:hAnsi="Consolas"/>
          <w:sz w:val="21"/>
        </w:rPr>
        <w:t>DTI=高 ∧ 近3月征信查询=高 ∧ 夜间消费占比=高 → 违约=是</w:t>
        <w:br/>
        <w:t>(support=3%, confidence=72%, lift=4.5)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实施步骤：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多源数据融合：从信贷系统、交易流水、人行/三方征信抽取宽表，以 user_id 为主键 join；处理缺失/异常；统一观察期（6 个月）与表现期（3 个月）；打上目标标签 default ∈ {是, 否}（如 M3+ 逾期）。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属性离散化与概念分层：数值属性（DTI、消费额等）使用等频/卡方/决策树分箱，确保各箱样本量均衡；类别属性建立层次（行业→大类→小类）；转换为&lt;维度=值&gt;二元组事务，例如{DTI=高, 查询次数=高, 夜间消费=高, 多头借贷=有, default=是}。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频繁项集挖掘：使用 FP-growth（Spark MLlib FPGrowth）在分布式环境挖掘，min_support 视样本不平衡情况设定（如 0.5%–2%）；负样本稀少时可对其上采样或先降低阈值再过滤。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关联规则生成与风险规则筛选：仅保留后件包含 default=是 的规则；多指标过滤 confidence≥0.6、lift≥2，并辅以 leverage/conviction；通过极大或闭频繁项集去冗余。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业务校验与上线：风控专家审核规则的业务可解释性；在历史样本上回测 KS、坏账捕获率与覆盖度；上线为规则引擎（Drools 或自研），与评分卡、机器学习模型并联——命中高 lift 强规则直接拒绝/转人工，命中中风险规则降额提价，未命中走评分卡常规流程。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持续迭代：监控规则在新样本上的 PSI 与 lift 衰减，按月级重训；结合在线特征仓库实现近实时更新；与图关联（团伙欺诈）、序列模式（行为时序）结合，形成多维关联+图+序列的立体风控体系。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示例可挖掘规则（示意）：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多头借贷=有 ∧ 征信查询=高 → default=是 (conf=68%, lift=4.1)：多头风险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DTI=高 ∧ 夜间消费占比=高 ∧ age=青年 → default=是 (conf=61%, lift=3.5)：过度消费风险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地址变更=频繁 ∧ 手机号变更=频繁 ∧ 设备多账号=是 → default=是 (conf=75%, lift=5.8)：疑似欺诈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通过上述多维关联规则挖掘，可在传统评分卡之外补充强可解释、易落规则引擎的风险信号，提升信贷审批的精准度与抗欺诈能力。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