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b/>
          <w:color w:val="1F2D3D"/>
          <w:sz w:val="36"/>
        </w:rPr>
        <w:t>Prior Invention Description — PulseWriter</w:t>
      </w:r>
    </w:p>
    <w:p>
      <w:pPr>
        <w:spacing w:before="40" w:after="80"/>
      </w:pPr>
      <w:r>
        <w:rPr>
          <w:b/>
        </w:rPr>
        <w:t>Inventor:</w:t>
      </w:r>
      <w:r>
        <w:t xml:space="preserve"> Alexander Smith</w:t>
      </w:r>
    </w:p>
    <w:p>
      <w:pPr>
        <w:spacing w:before="40" w:after="80"/>
      </w:pPr>
      <w:r>
        <w:rPr>
          <w:b/>
        </w:rPr>
        <w:t>Development Began:</w:t>
      </w:r>
      <w:r>
        <w:t xml:space="preserve"> March 2026</w:t>
      </w:r>
    </w:p>
    <w:p>
      <w:pPr>
        <w:spacing w:before="40" w:after="80"/>
      </w:pPr>
      <w:r>
        <w:rPr>
          <w:b/>
        </w:rPr>
        <w:t>Ownership:</w:t>
      </w:r>
      <w:r>
        <w:t xml:space="preserve"> Alexander Smith — sole and exclusive owner. No rights, title, or interest in this invention have been assigned or transferred to any employer or third party.</w:t>
      </w:r>
    </w:p>
    <w:p>
      <w:pPr>
        <w:spacing w:before="80" w:after="80"/>
        <w:pBdr>
          <w:bottom w:val="single" w:sz="6" w:space="1" w:color="AAAAAA"/>
        </w:pBdr>
      </w:pPr>
    </w:p>
    <w:p>
      <w:pPr>
        <w:spacing w:before="200" w:after="80"/>
      </w:pPr>
      <w:r>
        <w:rPr>
          <w:b/>
          <w:color w:val="2C3E50"/>
          <w:sz w:val="28"/>
        </w:rPr>
        <w:t>Invention Name</w:t>
      </w:r>
    </w:p>
    <w:p>
      <w:pPr>
        <w:spacing w:before="40" w:after="80"/>
      </w:pPr>
      <w:r>
        <w:rPr>
          <w:b/>
        </w:rPr>
        <w:t>PulseWriter</w:t>
      </w:r>
      <w:r>
        <w:t xml:space="preserve"> — Penetration Testing Report Writing and Management Application</w:t>
      </w:r>
    </w:p>
    <w:p>
      <w:pPr>
        <w:spacing w:before="80" w:after="80"/>
        <w:pBdr>
          <w:bottom w:val="single" w:sz="6" w:space="1" w:color="AAAAAA"/>
        </w:pBdr>
      </w:pPr>
    </w:p>
    <w:p>
      <w:pPr>
        <w:spacing w:before="200" w:after="80"/>
      </w:pPr>
      <w:r>
        <w:rPr>
          <w:b/>
          <w:color w:val="2C3E50"/>
          <w:sz w:val="28"/>
        </w:rPr>
        <w:t>Core Concept</w:t>
      </w:r>
    </w:p>
    <w:p>
      <w:pPr>
        <w:spacing w:before="40" w:after="80"/>
      </w:pPr>
      <w:r>
        <w:t xml:space="preserve">A system and method for structured authoring, collaborative editing, template-driven content enrichment, and multi-format export of security assessment reports, incorporating automated data ingestion from external detection systems with operator-edit preservation — independent of specific reporting formats, delivery platforms, or underlying implementation technologies. When combined with Pulse, PulseWriter forms the documentation and delivery phase of an integrated end-to-end security assessment platform (see </w:t>
      </w:r>
      <w:r>
        <w:rPr>
          <w:i/>
        </w:rPr>
        <w:t>Combined System</w:t>
      </w:r>
      <w:r>
        <w:t xml:space="preserve"> section below).</w:t>
      </w:r>
    </w:p>
    <w:p>
      <w:pPr>
        <w:spacing w:before="80" w:after="80"/>
        <w:pBdr>
          <w:bottom w:val="single" w:sz="6" w:space="1" w:color="AAAAAA"/>
        </w:pBdr>
      </w:pPr>
    </w:p>
    <w:p>
      <w:pPr>
        <w:spacing w:before="200" w:after="80"/>
      </w:pPr>
      <w:r>
        <w:rPr>
          <w:b/>
          <w:color w:val="2C3E50"/>
          <w:sz w:val="28"/>
        </w:rPr>
        <w:t>Brief Description</w:t>
      </w:r>
    </w:p>
    <w:p>
      <w:pPr>
        <w:spacing w:before="40" w:after="80"/>
      </w:pPr>
      <w:r>
        <w:t>PulseWriter is a web application for authoring, managing, and exporting professional security assessment reports. It provides a structured workflow for managing clients, reports, findings, and narrative content, and integrates with the Pulse penetration testing platform via an automated data exchange mechanism. PulseWriter maintains an authoritative finding template library used to generate consistent, high-quality report content across engagements.</w:t>
      </w:r>
    </w:p>
    <w:p>
      <w:pPr>
        <w:spacing w:before="80" w:after="80"/>
        <w:pBdr>
          <w:bottom w:val="single" w:sz="6" w:space="1" w:color="AAAAAA"/>
        </w:pBdr>
      </w:pPr>
    </w:p>
    <w:p>
      <w:pPr>
        <w:spacing w:before="200" w:after="80"/>
      </w:pPr>
      <w:r>
        <w:rPr>
          <w:b/>
          <w:color w:val="2C3E50"/>
          <w:sz w:val="28"/>
        </w:rPr>
        <w:t>Detailed Description</w:t>
      </w:r>
    </w:p>
    <w:p>
      <w:pPr>
        <w:spacing w:before="200" w:after="80"/>
      </w:pPr>
      <w:r>
        <w:rPr>
          <w:b/>
          <w:color w:val="34495E"/>
          <w:sz w:val="24"/>
        </w:rPr>
        <w:t>Overview</w:t>
      </w:r>
    </w:p>
    <w:p>
      <w:pPr>
        <w:spacing w:before="40" w:after="80"/>
      </w:pPr>
      <w:r>
        <w:t>PulseWriter is a full-stack web application built on FastAPI (Python) and React (TypeScript). It addresses the documentation phase of the penetration testing workflow: after a security assessment is complete, practitioners must translate raw tool findings into professional reports with standardized narrative sections, severity ratings, CVSS scores, remediation guidance, and evidence. PulseWriter provides a purpose-built environment for this workflow, including role-based multi-user collaboration, rich-text editing, bidirectional synchronization with the PlexTrac report management platform, and DOCX/PDF export.</w:t>
      </w:r>
    </w:p>
    <w:p>
      <w:pPr>
        <w:spacing w:before="200" w:after="80"/>
      </w:pPr>
      <w:r>
        <w:rPr>
          <w:b/>
          <w:color w:val="34495E"/>
          <w:sz w:val="24"/>
        </w:rPr>
        <w:t>Architecture</w:t>
      </w:r>
    </w:p>
    <w:p>
      <w:pPr>
        <w:spacing w:before="40" w:after="80"/>
      </w:pPr>
      <w:r>
        <w:rPr>
          <w:b/>
        </w:rPr>
        <w:t>Backend:</w:t>
      </w:r>
      <w:r>
        <w:t xml:space="preserve"> FastAPI with async/await, SQLAlchemy 2.x, aiosqlite, and Alembic for database migrations. JWT authentication with bcrypt password hashing. Fernet symmetric encryption for stored third-party credentials. An 18-table SQLite schema covers users, clients, reports, narratives, findings, finding templates, assets, images, export templates, activity logs, and custom fields.</w:t>
      </w:r>
    </w:p>
    <w:p>
      <w:pPr>
        <w:spacing w:before="40" w:after="80"/>
      </w:pPr>
      <w:r>
        <w:rPr>
          <w:b/>
        </w:rPr>
        <w:t>Frontend:</w:t>
      </w:r>
      <w:r>
        <w:t xml:space="preserve"> React 19 with TypeScript, Vite, TailwindCSS, React Router, TipTap rich-text editor, Zustand state management, TanStack Query, and Axios.</w:t>
      </w:r>
    </w:p>
    <w:p>
      <w:pPr>
        <w:spacing w:before="40" w:after="80"/>
      </w:pPr>
      <w:r>
        <w:rPr>
          <w:b/>
        </w:rPr>
        <w:t>Deployment:</w:t>
      </w:r>
      <w:r>
        <w:t xml:space="preserve"> Single unified package—frontend assets bundled into the FastAPI static mount; a single process serves both the API and the React SPA.</w:t>
      </w:r>
    </w:p>
    <w:p>
      <w:pPr>
        <w:spacing w:before="200" w:after="80"/>
      </w:pPr>
      <w:r>
        <w:rPr>
          <w:b/>
          <w:color w:val="34495E"/>
          <w:sz w:val="24"/>
        </w:rPr>
        <w:t>Heartbeat Data Exchange (Pulse ↔ PulseWriter)</w:t>
      </w:r>
    </w:p>
    <w:p>
      <w:pPr>
        <w:spacing w:before="40" w:after="80"/>
      </w:pPr>
      <w:r>
        <w:t>A core architectural feature is the heartbeat ingestion endpoint. The Pulse platform exports a structured JSON payload containing findings (with severity, CVSS, CVE identifiers, evidence), positive outcomes, network assets (IP, hostname, OS, MAC address, FQDN), and engagement metadata. PulseWriter ingests this payload safely and repeatedly without corrupting existing data:</w:t>
      </w:r>
    </w:p>
    <w:p>
      <w:pPr>
        <w:pStyle w:val="ListBullet"/>
        <w:spacing w:before="20" w:after="20"/>
      </w:pPr>
      <w:r>
        <w:t>Findings are matched by slug identifier; existing findings are updated and new ones created.</w:t>
      </w:r>
    </w:p>
    <w:p>
      <w:pPr>
        <w:pStyle w:val="ListBullet"/>
        <w:spacing w:before="20" w:after="20"/>
      </w:pPr>
      <w:r>
        <w:t>Asset records are deduplicated by composite key (hostname + IP address).</w:t>
      </w:r>
    </w:p>
    <w:p>
      <w:pPr>
        <w:pStyle w:val="ListBullet"/>
        <w:spacing w:before="20" w:after="20"/>
      </w:pPr>
      <w:r>
        <w:t>Narrative sections are populated only if blank; operator edits are never overwritten.</w:t>
      </w:r>
    </w:p>
    <w:p>
      <w:pPr>
        <w:pStyle w:val="ListBullet"/>
        <w:spacing w:before="20" w:after="20"/>
      </w:pPr>
      <w:r>
        <w:t xml:space="preserve">An </w:t>
      </w:r>
      <w:r>
        <w:rPr>
          <w:rFonts w:ascii="Courier New" w:hAnsi="Courier New"/>
          <w:sz w:val="19"/>
        </w:rPr>
        <w:t>edited_fields</w:t>
      </w:r>
      <w:r>
        <w:t xml:space="preserve"> tracking mechanism and </w:t>
      </w:r>
      <w:r>
        <w:rPr>
          <w:rFonts w:ascii="Courier New" w:hAnsi="Courier New"/>
          <w:sz w:val="19"/>
        </w:rPr>
        <w:t>heartbeat_locked</w:t>
      </w:r>
      <w:r>
        <w:t xml:space="preserve"> flag protect user-customized content from subsequent automated imports.</w:t>
      </w:r>
    </w:p>
    <w:p>
      <w:pPr>
        <w:spacing w:before="40" w:after="80"/>
      </w:pPr>
      <w:r>
        <w:t>This separation allows Pulse to remain a lean detection tool while PulseWriter maintains authoritative report text.</w:t>
      </w:r>
    </w:p>
    <w:p>
      <w:pPr>
        <w:spacing w:before="200" w:after="80"/>
      </w:pPr>
      <w:r>
        <w:rPr>
          <w:b/>
          <w:color w:val="34495E"/>
          <w:sz w:val="24"/>
        </w:rPr>
        <w:t>Finding Template Library</w:t>
      </w:r>
    </w:p>
    <w:p>
      <w:pPr>
        <w:spacing w:before="40" w:after="80"/>
      </w:pPr>
      <w:r>
        <w:t xml:space="preserve">A </w:t>
      </w:r>
      <w:r>
        <w:rPr>
          <w:rFonts w:ascii="Courier New" w:hAnsi="Courier New"/>
          <w:sz w:val="19"/>
        </w:rPr>
        <w:t>finding_templates</w:t>
      </w:r>
      <w:r>
        <w:t xml:space="preserve"> table stores slug-keyed templates sourced from Pulse YAML definitions and custom entries created within PulseWriter. Each template contains the full set of rich-text fields used in a report finding: description, impact analysis, severity discussion, threat analysis, recommendation, and references. When Pulse signals a finding by slug via heartbeat, PulseWriter enriches the sparse detection record with the corresponding template's text, avoiding repetitive manual writing across engagements. Templates can be customized per-report without modifying the library record.</w:t>
      </w:r>
    </w:p>
    <w:p>
      <w:pPr>
        <w:spacing w:before="200" w:after="80"/>
      </w:pPr>
      <w:r>
        <w:rPr>
          <w:b/>
          <w:color w:val="34495E"/>
          <w:sz w:val="24"/>
        </w:rPr>
        <w:t>Report and Narrative Model</w:t>
      </w:r>
    </w:p>
    <w:p>
      <w:pPr>
        <w:spacing w:before="40" w:after="80"/>
      </w:pPr>
      <w:r>
        <w:t>Each report is associated with a single Narrative record containing nine rich-text HTML fields: executive summary, engagement scope, testing limitations, high-level observations, assessment objective, testing narrative, finding narrative, positive outcomes, and noted strengths. A custom fields system allows additional sections. All fields store raw HTML produced by the TipTap editor, enabling flexible rendering in exports.</w:t>
      </w:r>
    </w:p>
    <w:p>
      <w:pPr>
        <w:spacing w:before="200" w:after="80"/>
      </w:pPr>
      <w:r>
        <w:rPr>
          <w:b/>
          <w:color w:val="34495E"/>
          <w:sz w:val="24"/>
        </w:rPr>
        <w:t>Rich-Text Editor</w:t>
      </w:r>
    </w:p>
    <w:p>
      <w:pPr>
        <w:spacing w:before="40" w:after="80"/>
      </w:pPr>
      <w:r>
        <w:t>The application includes a purpose-built TipTap v3 rich-text editor component with an eleven-group toolbar covering undo/redo, text marks (bold, italic, underline, strikethrough), color and highlight, font size, headings, text alignment, lists and indentation, block elements (blockquote, code block, horizontal rule), and link/image insertion. The editor supports fourteen keyboard shortcuts and displays live word and character counts.</w:t>
      </w:r>
    </w:p>
    <w:p>
      <w:pPr>
        <w:spacing w:before="200" w:after="80"/>
      </w:pPr>
      <w:r>
        <w:rPr>
          <w:b/>
          <w:color w:val="34495E"/>
          <w:sz w:val="24"/>
        </w:rPr>
        <w:t>Role-Based Access Control</w:t>
      </w:r>
    </w:p>
    <w:p>
      <w:pPr>
        <w:spacing w:before="40" w:after="80"/>
      </w:pPr>
      <w:r>
        <w:t>Four roles are supported: admin, operator, reviewer, and read_only. Granular route-level guards enforce permissions: operators can create and edit all report content; reviewers can annotate findings; read-only users have view access only; admins manage users and system configuration. Guards are implemented as FastAPI dependency-injection functions.</w:t>
      </w:r>
    </w:p>
    <w:p>
      <w:pPr>
        <w:spacing w:before="200" w:after="80"/>
      </w:pPr>
      <w:r>
        <w:rPr>
          <w:b/>
          <w:color w:val="34495E"/>
          <w:sz w:val="24"/>
        </w:rPr>
        <w:t>PlexTrac Integration</w:t>
      </w:r>
    </w:p>
    <w:p>
      <w:pPr>
        <w:spacing w:before="40" w:after="80"/>
      </w:pPr>
      <w:r>
        <w:t>A bidirectional PlexTrac sync integration allows practitioners to push completed PulseWriter reports to PlexTrac for client delivery, and to import PlexTrac reports back into PulseWriter. PlexTrac credentials (base URL, username, password, optional MFA token) are stored at rest using Fernet encryption with a per-installation master key. A conflict detection endpoint identifies narrative field collisions before a sync operation is committed.</w:t>
      </w:r>
    </w:p>
    <w:p>
      <w:pPr>
        <w:spacing w:before="200" w:after="80"/>
      </w:pPr>
      <w:r>
        <w:rPr>
          <w:b/>
          <w:color w:val="34495E"/>
          <w:sz w:val="24"/>
        </w:rPr>
        <w:t>Export and Document Generation</w:t>
      </w:r>
    </w:p>
    <w:p>
      <w:pPr>
        <w:spacing w:before="40" w:after="80"/>
      </w:pPr>
      <w:r>
        <w:t>Reports are exported to DOCX using python-docx and to PDF using WeasyPrint, with Jinja2 templating for variable substitution (client name, report title, finding tables, narrative sections). An export template system allows practitioners to supply custom .docx base templates. Embedded images from the report image library are included in generated documents.</w:t>
      </w:r>
    </w:p>
    <w:p>
      <w:pPr>
        <w:spacing w:before="200" w:after="80"/>
      </w:pPr>
      <w:r>
        <w:rPr>
          <w:b/>
          <w:color w:val="34495E"/>
          <w:sz w:val="24"/>
        </w:rPr>
        <w:t>Activity Logging</w:t>
      </w:r>
    </w:p>
    <w:p>
      <w:pPr>
        <w:spacing w:before="40" w:after="80"/>
      </w:pPr>
      <w:r>
        <w:t>An audit trail captures all significant write operations: user identity, action type, affected entity type and ID, timestamp, and a JSON diff payload. The log is accessible via a read-only API endpoint.</w:t>
      </w:r>
    </w:p>
    <w:p>
      <w:pPr>
        <w:spacing w:before="200" w:after="80"/>
      </w:pPr>
      <w:r>
        <w:rPr>
          <w:b/>
          <w:color w:val="34495E"/>
          <w:sz w:val="24"/>
        </w:rPr>
        <w:t>Combined System — Pulse + PulseWriter</w:t>
      </w:r>
    </w:p>
    <w:p>
      <w:pPr>
        <w:spacing w:before="40" w:after="80"/>
      </w:pPr>
      <w:r>
        <w:t>Pulse and PulseWriter are independently functional applications that together constitute a unified, end-to-end security assessment platform covering the full practitioner workflow from initial reconnaissance through client report delivery.</w:t>
      </w:r>
    </w:p>
    <w:p>
      <w:pPr>
        <w:spacing w:before="40" w:after="80"/>
      </w:pPr>
      <w:r>
        <w:rPr>
          <w:b/>
        </w:rPr>
        <w:t>Division of responsibility:</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before="40" w:after="40"/>
            </w:pPr>
            <w:r>
              <w:rPr>
                <w:b/>
              </w:rPr>
            </w:r>
            <w:r>
              <w:rPr>
                <w:b/>
              </w:rPr>
              <w:t>Phase</w:t>
            </w:r>
          </w:p>
        </w:tc>
        <w:tc>
          <w:tcPr>
            <w:tcW w:type="dxa" w:w="2880"/>
          </w:tcPr>
          <w:p>
            <w:pPr>
              <w:spacing w:before="40" w:after="40"/>
            </w:pPr>
            <w:r>
              <w:rPr>
                <w:b/>
              </w:rPr>
            </w:r>
            <w:r>
              <w:rPr>
                <w:b/>
              </w:rPr>
              <w:t>Application</w:t>
            </w:r>
          </w:p>
        </w:tc>
        <w:tc>
          <w:tcPr>
            <w:tcW w:type="dxa" w:w="2880"/>
          </w:tcPr>
          <w:p>
            <w:pPr>
              <w:spacing w:before="40" w:after="40"/>
            </w:pPr>
            <w:r>
              <w:rPr>
                <w:b/>
              </w:rPr>
            </w:r>
            <w:r>
              <w:rPr>
                <w:b/>
              </w:rPr>
              <w:t>Function</w:t>
            </w:r>
          </w:p>
        </w:tc>
      </w:tr>
      <w:tr>
        <w:tc>
          <w:tcPr>
            <w:tcW w:type="dxa" w:w="2880"/>
          </w:tcPr>
          <w:p>
            <w:pPr>
              <w:spacing w:before="40" w:after="40"/>
            </w:pPr>
            <w:r/>
            <w:r>
              <w:t>Operations</w:t>
            </w:r>
          </w:p>
        </w:tc>
        <w:tc>
          <w:tcPr>
            <w:tcW w:type="dxa" w:w="2880"/>
          </w:tcPr>
          <w:p>
            <w:pPr>
              <w:spacing w:before="40" w:after="40"/>
            </w:pPr>
            <w:r/>
            <w:r>
              <w:t>Pulse</w:t>
            </w:r>
          </w:p>
        </w:tc>
        <w:tc>
          <w:tcPr>
            <w:tcW w:type="dxa" w:w="2880"/>
          </w:tcPr>
          <w:p>
            <w:pPr>
              <w:spacing w:before="40" w:after="40"/>
            </w:pPr>
            <w:r/>
            <w:r>
              <w:t>Tool orchestration, vulnerability detection, credential capture, AD attack chains, evidence collection</w:t>
            </w:r>
          </w:p>
        </w:tc>
      </w:tr>
      <w:tr>
        <w:tc>
          <w:tcPr>
            <w:tcW w:type="dxa" w:w="2880"/>
          </w:tcPr>
          <w:p>
            <w:pPr>
              <w:spacing w:before="40" w:after="40"/>
            </w:pPr>
            <w:r/>
            <w:r>
              <w:t>Documentation</w:t>
            </w:r>
          </w:p>
        </w:tc>
        <w:tc>
          <w:tcPr>
            <w:tcW w:type="dxa" w:w="2880"/>
          </w:tcPr>
          <w:p>
            <w:pPr>
              <w:spacing w:before="40" w:after="40"/>
            </w:pPr>
            <w:r/>
            <w:r>
              <w:t>PulseWriter</w:t>
            </w:r>
          </w:p>
        </w:tc>
        <w:tc>
          <w:tcPr>
            <w:tcW w:type="dxa" w:w="2880"/>
          </w:tcPr>
          <w:p>
            <w:pPr>
              <w:spacing w:before="40" w:after="40"/>
            </w:pPr>
            <w:r/>
            <w:r>
              <w:t>Report authoring, finding enrichment, narrative editing, multi-format export, client delivery</w:t>
            </w:r>
          </w:p>
        </w:tc>
      </w:tr>
    </w:tbl>
    <w:p/>
    <w:p>
      <w:pPr>
        <w:spacing w:before="40" w:after="80"/>
      </w:pPr>
      <w:r>
        <w:rPr>
          <w:b/>
        </w:rPr>
        <w:t>Integration mechanism — the Heartbeat Protocol:</w:t>
      </w:r>
    </w:p>
    <w:p>
      <w:pPr>
        <w:spacing w:before="40" w:after="80"/>
      </w:pPr>
      <w:r>
        <w:t>At any point during or after an engagement, Pulse exports a structured JSON payload (the "heartbeat") containing all detected findings (by slug identifier, severity, CVSS, CVE list, and affected assets), positive outcomes, network asset inventory (IP, hostname, OS, MAC, FQDN), and engagement metadata. PulseWriter exposes an ingestion endpoint that accepts this payload and performs the following operations:</w:t>
      </w:r>
    </w:p>
    <w:p>
      <w:pPr>
        <w:pStyle w:val="ListNumber"/>
        <w:spacing w:before="20" w:after="20"/>
      </w:pPr>
      <w:r>
        <w:t>Matches incoming findings against the finding template library by slug to enrich sparse detection signals with full report-quality text (description, impact, severity discussion, threat analysis, recommendation, references, CVSS score).</w:t>
      </w:r>
    </w:p>
    <w:p>
      <w:pPr>
        <w:pStyle w:val="ListNumber"/>
        <w:spacing w:before="20" w:after="20"/>
      </w:pPr>
      <w:r>
        <w:t>Creates or updates finding records safely — repeated heartbeat imports do not duplicate or overwrite user-edited content.</w:t>
      </w:r>
    </w:p>
    <w:p>
      <w:pPr>
        <w:pStyle w:val="ListNumber"/>
        <w:spacing w:before="20" w:after="20"/>
      </w:pPr>
      <w:r>
        <w:t>Populates asset records with network inventory data, deduplicating by composite key.</w:t>
      </w:r>
    </w:p>
    <w:p>
      <w:pPr>
        <w:pStyle w:val="ListNumber"/>
        <w:spacing w:before="20" w:after="20"/>
      </w:pPr>
      <w:r>
        <w:t>Pre-fills narrative sections with engagement metadata only where fields remain blank.</w:t>
      </w:r>
    </w:p>
    <w:p>
      <w:pPr>
        <w:spacing w:before="40" w:after="80"/>
      </w:pPr>
      <w:r>
        <w:rPr>
          <w:b/>
        </w:rPr>
        <w:t>Shared finding taxonomy:</w:t>
      </w:r>
    </w:p>
    <w:p>
      <w:pPr>
        <w:spacing w:before="40" w:after="80"/>
      </w:pPr>
      <w:r>
        <w:t>The YAML finding library in Pulse and the finding template library in PulseWriter share a common slug-based identifier system. Each slug uniquely identifies a vulnerability or positive outcome class. This shared taxonomy is itself an invention element: it enables automated signal-to-report enrichment without requiring manual mapping between the detection and documentation systems.</w:t>
      </w:r>
    </w:p>
    <w:p>
      <w:pPr>
        <w:spacing w:before="40" w:after="80"/>
      </w:pPr>
      <w:r>
        <w:rPr>
          <w:b/>
        </w:rPr>
        <w:t>End-to-end workflow:</w:t>
      </w:r>
    </w:p>
    <w:p>
      <w:pPr>
        <w:spacing w:before="80" w:after="80"/>
        <w:ind w:left="360"/>
      </w:pPr>
      <w:r>
        <w:rPr>
          <w:rFonts w:ascii="Courier New" w:hAnsi="Courier New"/>
          <w:sz w:val="17"/>
        </w:rPr>
        <w:t>Pulse (operational)                     PulseWriter (documentation)</w:t>
        <w:br/>
        <w:t>─────────────────────────────────       ─────────────────────────────────</w:t>
        <w:br/>
        <w:t>Target scoping                          Client and report creation</w:t>
        <w:br/>
        <w:t xml:space="preserve"> │</w:t>
        <w:br/>
        <w:t>Tool orchestration (95+ services)</w:t>
        <w:br/>
        <w:t xml:space="preserve"> │</w:t>
        <w:br/>
        <w:t>Automated finding detection</w:t>
        <w:br/>
        <w:t xml:space="preserve"> │</w:t>
        <w:br/>
        <w:t>Credential capture and AD attack</w:t>
        <w:br/>
        <w:t xml:space="preserve"> │</w:t>
        <w:br/>
        <w:t>Evidence packaging (screenshots)</w:t>
        <w:br/>
        <w:t xml:space="preserve"> │</w:t>
        <w:br/>
        <w:t>Heartbeat export (JSON)  ──────────────► Heartbeat ingestion</w:t>
        <w:br/>
        <w:t xml:space="preserve">                                         │</w:t>
        <w:br/>
        <w:t xml:space="preserve">                                         Template enrichment (slug lookup)</w:t>
        <w:br/>
        <w:t xml:space="preserve">                                         │</w:t>
        <w:br/>
        <w:t xml:space="preserve">                                         Operator narrative authoring</w:t>
        <w:br/>
        <w:t xml:space="preserve">                                         │</w:t>
        <w:br/>
        <w:t xml:space="preserve">                                         Review and approval workflow</w:t>
        <w:br/>
        <w:t xml:space="preserve">                                         │</w:t>
        <w:br/>
        <w:t xml:space="preserve">                                         DOCX / PDF export</w:t>
        <w:br/>
        <w:t xml:space="preserve">                                         │</w:t>
        <w:br/>
        <w:t xml:space="preserve">                                         PlexTrac delivery</w:t>
      </w:r>
    </w:p>
    <w:p>
      <w:pPr>
        <w:spacing w:before="40" w:after="80"/>
      </w:pPr>
      <w:r>
        <w:t>The combined system represents a novel approach to security assessment workflow automation: detection and documentation are architecturally separated, connected by a defined protocol, and independently extensible — while sharing a common finding taxonomy that eliminates the manual translation step that characterizes conventional penetration testing workflows.</w:t>
      </w:r>
    </w:p>
    <w:p>
      <w:pPr>
        <w:spacing w:before="200" w:after="80"/>
      </w:pPr>
      <w:r>
        <w:rPr>
          <w:b/>
          <w:color w:val="34495E"/>
          <w:sz w:val="24"/>
        </w:rPr>
        <w:t>Technology</w:t>
      </w:r>
    </w:p>
    <w:p>
      <w:pPr>
        <w:pStyle w:val="ListBullet"/>
        <w:spacing w:before="20" w:after="20"/>
      </w:pPr>
      <w:r>
        <w:rPr>
          <w:b/>
        </w:rPr>
        <w:t>Backend Framework:</w:t>
      </w:r>
      <w:r>
        <w:t xml:space="preserve"> FastAPI 0.111, Python 3.10+</w:t>
      </w:r>
    </w:p>
    <w:p>
      <w:pPr>
        <w:pStyle w:val="ListBullet"/>
        <w:spacing w:before="20" w:after="20"/>
      </w:pPr>
      <w:r>
        <w:rPr>
          <w:b/>
        </w:rPr>
        <w:t>ORM / Database:</w:t>
      </w:r>
      <w:r>
        <w:t xml:space="preserve"> SQLAlchemy 2.0 + aiosqlite, SQLite 3</w:t>
      </w:r>
    </w:p>
    <w:p>
      <w:pPr>
        <w:pStyle w:val="ListBullet"/>
        <w:spacing w:before="20" w:after="20"/>
      </w:pPr>
      <w:r>
        <w:rPr>
          <w:b/>
        </w:rPr>
        <w:t>Migrations:</w:t>
      </w:r>
      <w:r>
        <w:t xml:space="preserve"> Alembic</w:t>
      </w:r>
    </w:p>
    <w:p>
      <w:pPr>
        <w:pStyle w:val="ListBullet"/>
        <w:spacing w:before="20" w:after="20"/>
      </w:pPr>
      <w:r>
        <w:rPr>
          <w:b/>
        </w:rPr>
        <w:t>Authentication:</w:t>
      </w:r>
      <w:r>
        <w:t xml:space="preserve"> python-jose (JWT), passlib + bcrypt</w:t>
      </w:r>
    </w:p>
    <w:p>
      <w:pPr>
        <w:pStyle w:val="ListBullet"/>
        <w:spacing w:before="20" w:after="20"/>
      </w:pPr>
      <w:r>
        <w:rPr>
          <w:b/>
        </w:rPr>
        <w:t>Encryption:</w:t>
      </w:r>
      <w:r>
        <w:t xml:space="preserve"> cryptography (Fernet)</w:t>
      </w:r>
    </w:p>
    <w:p>
      <w:pPr>
        <w:pStyle w:val="ListBullet"/>
        <w:spacing w:before="20" w:after="20"/>
      </w:pPr>
      <w:r>
        <w:rPr>
          <w:b/>
        </w:rPr>
        <w:t>Export:</w:t>
      </w:r>
      <w:r>
        <w:t xml:space="preserve"> python-docx, WeasyPrint, Jinja2</w:t>
      </w:r>
    </w:p>
    <w:p>
      <w:pPr>
        <w:pStyle w:val="ListBullet"/>
        <w:spacing w:before="20" w:after="20"/>
      </w:pPr>
      <w:r>
        <w:rPr>
          <w:b/>
        </w:rPr>
        <w:t>HTTP Client:</w:t>
      </w:r>
      <w:r>
        <w:t xml:space="preserve"> httpx (PlexTrac integration)</w:t>
      </w:r>
    </w:p>
    <w:p>
      <w:pPr>
        <w:pStyle w:val="ListBullet"/>
        <w:spacing w:before="20" w:after="20"/>
      </w:pPr>
      <w:r>
        <w:rPr>
          <w:b/>
        </w:rPr>
        <w:t>Integration Protocol:</w:t>
      </w:r>
      <w:r>
        <w:t xml:space="preserve"> JSON heartbeat ingestion from Pulse; bidirectional REST sync with PlexTrac</w:t>
      </w:r>
    </w:p>
    <w:p>
      <w:pPr>
        <w:pStyle w:val="ListBullet"/>
        <w:spacing w:before="20" w:after="20"/>
      </w:pPr>
      <w:r>
        <w:rPr>
          <w:b/>
        </w:rPr>
        <w:t>Frontend:</w:t>
      </w:r>
      <w:r>
        <w:t xml:space="preserve"> React 19, TypeScript, Vite, TailwindCSS 4, TipTap 3, Zustand 5, TanStack Query 5, React Hook Form + Zod, Axios, Lucide React</w:t>
      </w:r>
    </w:p>
    <w:p>
      <w:pPr>
        <w:spacing w:before="80" w:after="80"/>
        <w:pBdr>
          <w:bottom w:val="single" w:sz="6" w:space="1" w:color="AAAAAA"/>
        </w:pBdr>
      </w:pPr>
    </w:p>
    <w:p>
      <w:pPr>
        <w:spacing w:before="200" w:after="80"/>
      </w:pPr>
      <w:r>
        <w:rPr>
          <w:b/>
          <w:color w:val="2C3E50"/>
          <w:sz w:val="28"/>
        </w:rPr>
        <w:t>Scope of Invention</w:t>
      </w:r>
    </w:p>
    <w:p>
      <w:pPr>
        <w:spacing w:before="40" w:after="80"/>
      </w:pPr>
      <w:r>
        <w:t xml:space="preserve">This invention encompasses the PulseWriter software system as a whole, including but not limited to: the full-stack web application architecture; the heartbeat ingestion and data exchange protocol between Pulse and PulseWriter; the </w:t>
      </w:r>
      <w:r>
        <w:rPr>
          <w:rFonts w:ascii="Courier New" w:hAnsi="Courier New"/>
          <w:sz w:val="19"/>
        </w:rPr>
        <w:t>edited_fields</w:t>
      </w:r>
      <w:r>
        <w:t xml:space="preserve"> and </w:t>
      </w:r>
      <w:r>
        <w:rPr>
          <w:rFonts w:ascii="Courier New" w:hAnsi="Courier New"/>
          <w:sz w:val="19"/>
        </w:rPr>
        <w:t>heartbeat_locked</w:t>
      </w:r>
      <w:r>
        <w:t xml:space="preserve"> operator-edit preservation mechanism; the finding template library and slug-based enrichment workflow; the shared finding taxonomy connecting PulseWriter to Pulse; the nine-section narrative model and custom fields extension system; the rich-text editor component and toolbar implementation; the role-based access control model; the bidirectional PlexTrac synchronization integration and conflict detection mechanism; the encrypted third-party credential storage subsystem; the composite-key asset deduplication logic; the DOCX and PDF export pipeline; the activity audit log system; the unified single-process deployment model; and the PulseWriter component of the combined Pulse + PulseWriter integrated security assessment platform.</w:t>
      </w:r>
    </w:p>
    <w:p>
      <w:pPr>
        <w:spacing w:before="40" w:after="80"/>
      </w:pPr>
      <w:r>
        <w:t>This invention further encompasses all associated intellectual property, including: the name "PulseWriter" as applied to this software platform; all wordmarks, logotypes, and iconography developed for or associated with PulseWriter; all visual identity elements including color schemes, design language, and UI styling; all slogans, taglines, descriptive phrases, and product terminology coined in connection with PulseWriter; and all associated trade dress.</w:t>
      </w:r>
    </w:p>
    <w:p>
      <w:pPr>
        <w:spacing w:before="40" w:after="80"/>
      </w:pPr>
      <w:r>
        <w:t>This scope includes all improvements, modifications, derivative works, and extensions of the concepts and methods described herein, regardless of the technology, programming language, platform, deployment model, or implementation used. The inventor's rights extend to all future development of this invention, including features, subsystems, integrations, and implementations not yet conceived at the time of this disclosure.</w:t>
      </w:r>
    </w:p>
    <w:p>
      <w:pPr>
        <w:spacing w:before="80" w:after="80"/>
        <w:pBdr>
          <w:bottom w:val="single" w:sz="6" w:space="1" w:color="AAAAAA"/>
        </w:pBdr>
      </w:pPr>
    </w:p>
    <w:p>
      <w:pPr>
        <w:spacing w:before="40" w:after="80"/>
      </w:pPr>
      <w:r>
        <w:t>Alexander Smith is the sole and exclusive owner of this invention, having conceived and developed it independently beginning in March 2026. This disclosure is submitted pursuant to Section 7.1 of the Employment Agreement to establish PulseWriter as a prior invention excluded from the agreement's assignment provisions. No rights, title, or interest in this invention are assigned or transferred by virtue of this disclosure.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