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5D6B7E"/>
          <w:sz w:val="20"/>
        </w:rPr>
        <w:t>Escuela Superior de Administración Pública · SuperApp ESAP</w:t>
      </w:r>
    </w:p>
    <w:p>
      <w:r>
        <w:rPr>
          <w:b/>
          <w:color w:val="0B3D91"/>
          <w:sz w:val="44"/>
        </w:rPr>
        <w:t>Resumen ejecutivo de la base de datos</w:t>
      </w:r>
    </w:p>
    <w:p>
      <w:r>
        <w:rPr>
          <w:color w:val="5D6B7E"/>
        </w:rPr>
        <w:t>Entorno QA (prueba) · base esap_qa_prueba2 · corte del 21 de octubre de 2026 · versión v0.1-prueba</w:t>
      </w:r>
    </w:p>
    <w:p>
      <w:r>
        <w:t xml:space="preserve">Detalle navegable en el Portal de Datos ESAP: </w:t>
      </w:r>
      <w:hyperlink r:id="rId9">
        <w:r>
          <w:rPr>
            <w:color w:val="1F6FEB"/>
            <w:u w:val="single"/>
          </w:rPr>
          <w:t xml:space="preserve">https://ejemplo.invalid/Portal_de_Datos_ESAP_v0.1-prueba.html</w:t>
        </w:r>
      </w:hyperlink>
    </w:p>
    <w:p>
      <w:pPr>
        <w:pStyle w:val="Heading1"/>
      </w:pPr>
      <w:r>
        <w:t>1. Propósito</w:t>
      </w:r>
    </w:p>
    <w:p>
      <w:r>
        <w:t>Este documento resume el estado de la base de datos de la SuperApp ESAP como parte de su entrega: qué contiene, cómo está organizada, cómo se relacionan sus datos y qué tan documentada y consistente es su estructura. Está pensado para una lectura rápida. El detalle de cada tabla, columna y relación está en el Portal de Datos ESAP, y las consultas, los archivos CSV y la documentación en Markdown que lo respaldan están en el repositorio técnico (sección 7).</w:t>
      </w:r>
    </w:p>
    <w:p>
      <w:pPr>
        <w:pStyle w:val="Heading1"/>
      </w:pPr>
      <w:r>
        <w:t>2. Fuente y alcance</w:t>
      </w:r>
    </w:p>
    <w:p>
      <w:r>
        <w:t>Las cifras provienen de una extracción de solo lectura de la base esap_qa_prueba2 del entorno QA (prueba), hecha el 21 de octubre de 2026. La extracción consulta el catálogo de PostgreSQL, las estadísticas del planificador y conteos agregados; no extrae ni publica valores de datos personales.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402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669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Motor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PostgreSQL 16.15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Tamaño de la base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9,1 MB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Dominios (esquemas)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Tablas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18 (1 de apoyo: respaldos, copias o migraciones)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Vistas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Columnas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89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Relaciones declaradas (FK)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Funciones y procedimientos · triggers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3 · 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Filas (conteo exacto)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4.437</w:t>
            </w:r>
          </w:p>
        </w:tc>
      </w:tr>
    </w:tbl>
    <w:p/>
    <w:p>
      <w:pPr>
        <w:pStyle w:val="Heading1"/>
      </w:pPr>
      <w:r>
        <w:t>3. Organización por dominios</w:t>
      </w:r>
    </w:p>
    <w:p>
      <w:r>
        <w:t>Cada esquema de la base corresponde a un dominio funcional de la SuperApp: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2835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Dominio</w:t>
            </w:r>
          </w:p>
        </w:tc>
        <w:tc>
          <w:tcPr>
            <w:tcW w:type="dxa" w:w="238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Esquema</w:t>
            </w:r>
          </w:p>
        </w:tc>
        <w:tc>
          <w:tcPr>
            <w:tcW w:type="dxa" w:w="907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Tablas</w:t>
            </w:r>
          </w:p>
        </w:tc>
        <w:tc>
          <w:tcPr>
            <w:tcW w:type="dxa" w:w="1020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Columnas</w:t>
            </w:r>
          </w:p>
        </w:tc>
        <w:tc>
          <w:tcPr>
            <w:tcW w:type="dxa" w:w="1247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Filas</w:t>
            </w:r>
          </w:p>
        </w:tc>
        <w:tc>
          <w:tcPr>
            <w:tcW w:type="dxa" w:w="907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Sin filas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Identidad y acceso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auth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25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8"/>
              </w:rPr>
              <w:t>1.355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Registro académico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academic_registration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21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8"/>
              </w:rPr>
              <w:t>1.502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Certificaciones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certification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8"/>
              </w:rPr>
              <w:t>700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Gestión jurídica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legal_management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8"/>
              </w:rPr>
              <w:t>80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Control interno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control_interno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Notificaciones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notifications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8"/>
              </w:rPr>
              <w:t>300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Auditoría y trazabilidad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audit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</w:tr>
    </w:tbl>
    <w:p/>
    <w:p>
      <w:pPr>
        <w:pStyle w:val="Heading1"/>
      </w:pPr>
      <w:r>
        <w:t>4. Indicadores de calidad del modelo</w:t>
      </w:r>
    </w:p>
    <w:p>
      <w:r>
        <w:t>Los indicadores se calculan sobre las tablas operativas (sin las de apoyo) y se agrupan por dimensión de calidad de datos según ISO/IEC 25012. La meta indica el valor de referencia para una base lista para producción.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680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685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204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Dimensión</w:t>
            </w:r>
          </w:p>
        </w:tc>
        <w:tc>
          <w:tcPr>
            <w:tcW w:type="dxa" w:w="1134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1247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Meta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K01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Tablas con descripción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Comprensibilidad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5,9 %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≥ 95 %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K02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Columnas con descripción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Comprensibilidad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1,2 %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≥ 95 %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K03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Tablas con clave primaria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Unicidad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88,2 %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100 %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K04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Relaciones declaradas como FK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Integridad referencial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70,0 %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≥ 95 %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K05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FK con índice en la columna hija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Eficiencia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14,3 %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100 %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K06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Valores sin registro padre en FK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Consistencia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K07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Tablas operativas con datos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Actualidad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82,4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referencia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K08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Tablas de apoyo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Mantenibilidad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referencia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K09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Copias de datos de identidad fuera de la fuente maestra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Consistencia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referencia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K10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Columnas con datos personales identificadas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Confidencialidad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referencia</w:t>
            </w:r>
          </w:p>
        </w:tc>
      </w:tr>
    </w:tbl>
    <w:p/>
    <w:p>
      <w:pPr>
        <w:pStyle w:val="Heading1"/>
      </w:pPr>
      <w:r>
        <w:t>5. Hallazgos principales</w:t>
      </w:r>
    </w:p>
    <w:p>
      <w:pPr>
        <w:pStyle w:val="ListBullet"/>
      </w:pPr>
      <w:r>
        <w:rPr>
          <w:b/>
        </w:rPr>
        <w:t>Identidad replicada.</w:t>
      </w:r>
      <w:r>
        <w:t xml:space="preserve"> Hay 9 columnas de correo o documento en 5 esquemas (academic_registration, auth, certification, legal_management, notifications) que repiten datos de identidad en lugar de referenciar a la persona en la fuente maestra (auth.personas.dir_email, auth.personas.num_identificacion). Ejemplos: certification.certificates.email (250 de 700 valores fuera de la maestra); academic_registration.inscripciones.num_identificacion (150 de 600 valores fuera de la maestra); academic_registration.inscripciones.dir_email (300 de 600 valores fuera de la maestra). Cuando la misma persona se registra en varios módulos, sus datos pueden divergir.</w:t>
      </w:r>
    </w:p>
    <w:p>
      <w:pPr>
        <w:pStyle w:val="ListBullet"/>
      </w:pPr>
      <w:r>
        <w:rPr>
          <w:b/>
        </w:rPr>
        <w:t>Relaciones sin restricción.</w:t>
      </w:r>
      <w:r>
        <w:t xml:space="preserve"> Además de las 7 FK declaradas, 3 columnas apuntan por su nombre a la clave de otra tabla sin una FK que lo garantice; los datos confirman total o parcialmente 3 de ellas. Sin la FK, la base no impide registros que apunten a datos inexistentes (indicador K04: 70,0 % de las relaciones están declaradas).</w:t>
      </w:r>
    </w:p>
    <w:p>
      <w:pPr>
        <w:pStyle w:val="ListBullet"/>
      </w:pPr>
      <w:r>
        <w:rPr>
          <w:b/>
        </w:rPr>
        <w:t>Documentación del diccionario.</w:t>
      </w:r>
      <w:r>
        <w:t xml:space="preserve"> 5,9 % de las tablas y 1,2 % de las columnas tienen descripción registrada en la base (meta ≥ 95 %). Las demás aparecen en el portal como «por documentar».</w:t>
      </w:r>
    </w:p>
    <w:p>
      <w:pPr>
        <w:pStyle w:val="ListBullet"/>
      </w:pPr>
      <w:r>
        <w:rPr>
          <w:b/>
        </w:rPr>
        <w:t>Tablas sin uso aparente.</w:t>
      </w:r>
      <w:r>
        <w:t xml:space="preserve"> 3 tablas operativas no tienen filas en QA (prueba) y 1 tablas son de apoyo (respaldos, copias o migraciones). Pueden corresponder a módulos aún sin uso en este entorno o a estructuras por depurar.</w:t>
      </w:r>
    </w:p>
    <w:p>
      <w:pPr>
        <w:pStyle w:val="ListBullet"/>
      </w:pPr>
      <w:r>
        <w:rPr>
          <w:b/>
        </w:rPr>
        <w:t>Tablas sin clave primaria.</w:t>
      </w:r>
      <w:r>
        <w:t xml:space="preserve"> 2 tablas operativas no declaran clave primaria (auth.personas, control_interno.followups).</w:t>
      </w:r>
    </w:p>
    <w:p>
      <w:pPr>
        <w:pStyle w:val="ListBullet"/>
      </w:pPr>
      <w:r>
        <w:rPr>
          <w:b/>
        </w:rPr>
        <w:t>Índices de relaciones.</w:t>
      </w:r>
      <w:r>
        <w:t xml:space="preserve"> 6 de 7 FK no tienen índice en la columna hija, lo que puede hacer lentas las consultas que unen esas tablas y los borrados en la tabla padre.</w:t>
      </w:r>
    </w:p>
    <w:p>
      <w:pPr>
        <w:pStyle w:val="ListBullet"/>
      </w:pPr>
      <w:r>
        <w:rPr>
          <w:b/>
        </w:rPr>
        <w:t>Datos personales.</w:t>
      </w:r>
      <w:r>
        <w:t xml:space="preserve"> 20 columnas contienen datos personales según su nombre (4 de nivel alto: identificación, credenciales o datos sensibles). Su tratamiento debe responder a la Ley 1581 de 2012.</w:t>
      </w:r>
    </w:p>
    <w:p>
      <w:pPr>
        <w:pStyle w:val="Heading1"/>
      </w:pPr>
      <w:r>
        <w:t>6. Recomendaciones</w:t>
      </w:r>
    </w:p>
    <w:p>
      <w:pPr>
        <w:pStyle w:val="ListNumber"/>
      </w:pPr>
      <w:r>
        <w:rPr>
          <w:b/>
        </w:rPr>
        <w:t xml:space="preserve">Fuente única de identidad. </w:t>
      </w:r>
      <w:r>
        <w:t>Tomar auth.personas.dir_email, auth.personas.num_identificacion como la fuente de los datos de contacto e identificación, y que los módulos guarden solo la referencia a la persona (su identificador), resolviendo correo y documento en el momento de la consulta.</w:t>
      </w:r>
    </w:p>
    <w:p>
      <w:pPr>
        <w:pStyle w:val="ListNumber"/>
      </w:pPr>
      <w:r>
        <w:rPr>
          <w:b/>
        </w:rPr>
        <w:t xml:space="preserve">Declarar las relaciones confirmadas. </w:t>
      </w:r>
      <w:r>
        <w:t>Convertir en FK las relaciones implícitas que los datos confirman, después de depurar los valores sin registro padre, y crear índices en las columnas hijas de las FK que no lo tienen.</w:t>
      </w:r>
    </w:p>
    <w:p>
      <w:pPr>
        <w:pStyle w:val="ListNumber"/>
      </w:pPr>
      <w:r>
        <w:rPr>
          <w:b/>
        </w:rPr>
        <w:t xml:space="preserve">Controles de calidad en la entrada. </w:t>
      </w:r>
      <w:r>
        <w:t>Validar formato y obligatoriedad de los datos antes de guardarlos (rechazo o cuarentena de los registros que no cumplan), para que las tablas operativas solo reciban datos válidos.</w:t>
      </w:r>
    </w:p>
    <w:p>
      <w:pPr>
        <w:pStyle w:val="ListNumber"/>
      </w:pPr>
      <w:r>
        <w:rPr>
          <w:b/>
        </w:rPr>
        <w:t xml:space="preserve">Depuración preventiva. </w:t>
      </w:r>
      <w:r>
        <w:t>Revisar con el equipo de desarrollo las tablas sin filas y las de apoyo; marcar las que no se usen (por ejemplo con el sufijo _deprecated) durante un periodo de observación y retirarlas después si ninguna aplicación las consulta.</w:t>
      </w:r>
    </w:p>
    <w:p>
      <w:pPr>
        <w:pStyle w:val="ListNumber"/>
      </w:pPr>
      <w:r>
        <w:rPr>
          <w:b/>
        </w:rPr>
        <w:t xml:space="preserve">Completar el diccionario. </w:t>
      </w:r>
      <w:r>
        <w:t>Registrar las descripciones de negocio como COMMENT ON TABLE / COMMENT ON COLUMN, de modo que la documentación viaje con la base y el portal se actualice al regenerarlo.</w:t>
      </w:r>
    </w:p>
    <w:p>
      <w:pPr>
        <w:pStyle w:val="ListNumber"/>
      </w:pPr>
      <w:r>
        <w:rPr>
          <w:b/>
        </w:rPr>
        <w:t xml:space="preserve">Gobierno de datos personales. </w:t>
      </w:r>
      <w:r>
        <w:t>Validar la clasificación de columnas con datos personales con el responsable del tratamiento y definir controles de acceso y enmascaramiento para los entornos que no son de producción.</w:t>
      </w:r>
    </w:p>
    <w:p>
      <w:pPr>
        <w:pStyle w:val="Heading1"/>
      </w:pPr>
      <w:r>
        <w:t>7. Dónde consultar el detalle</w:t>
      </w:r>
    </w:p>
    <w:p>
      <w:r>
        <w:t xml:space="preserve">Portal de Datos ESAP v0.1-prueba: </w:t>
      </w:r>
      <w:hyperlink r:id="rId9">
        <w:r>
          <w:rPr>
            <w:color w:val="1F6FEB"/>
            <w:u w:val="single"/>
          </w:rPr>
          <w:t xml:space="preserve">https://ejemplo.invalid/Portal_de_Datos_ESAP_v0.1-prueba.html</w:t>
        </w:r>
      </w:hyperlink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87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Sección del portal</w:t>
            </w:r>
          </w:p>
        </w:tc>
        <w:tc>
          <w:tcPr>
            <w:tcW w:type="dxa" w:w="5499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Qué contiene</w:t>
            </w:r>
          </w:p>
        </w:tc>
        <w:tc>
          <w:tcPr>
            <w:tcW w:type="dxa" w:w="170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Enlace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Catálogo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buscador de tablas y columnas; ficha de cada tabla con columnas, claves, relaciones, índices y uso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  <w:hyperlink r:id="rId10">
              <w:r>
                <w:rPr>
                  <w:color w:val="1F6FEB"/>
                  <w:u w:val="single"/>
                </w:rPr>
                <w:t xml:space="preserve">Abrir sección</w:t>
              </w:r>
            </w:hyperlink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Modelo ER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diagrama entidad-relación por dominio, con FK y relaciones implícitas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  <w:hyperlink r:id="rId11">
              <w:r>
                <w:rPr>
                  <w:color w:val="1F6FEB"/>
                  <w:u w:val="single"/>
                </w:rPr>
                <w:t xml:space="preserve">Abrir sección</w:t>
              </w:r>
            </w:hyperlink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Relaciones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multiplicidad UML medida con datos y cobertura de las relaciones implícitas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  <w:hyperlink r:id="rId12">
              <w:r>
                <w:rPr>
                  <w:color w:val="1F6FEB"/>
                  <w:u w:val="single"/>
                </w:rPr>
                <w:t xml:space="preserve">Abrir sección</w:t>
              </w:r>
            </w:hyperlink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Calidad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indicadores K01–K10 y listas de tablas sin clave primaria, sin filas y de apoyo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  <w:hyperlink r:id="rId13">
              <w:r>
                <w:rPr>
                  <w:color w:val="1F6FEB"/>
                  <w:u w:val="single"/>
                </w:rPr>
                <w:t xml:space="preserve">Abrir sección</w:t>
              </w:r>
            </w:hyperlink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Identidad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réplicas de correo y documento frente a la fuente maestra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  <w:hyperlink r:id="rId14">
              <w:r>
                <w:rPr>
                  <w:color w:val="1F6FEB"/>
                  <w:u w:val="single"/>
                </w:rPr>
                <w:t xml:space="preserve">Abrir sección</w:t>
              </w:r>
            </w:hyperlink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Datos personales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columnas clasificadas según la Ley 1581 de 2012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  <w:hyperlink r:id="rId15">
              <w:r>
                <w:rPr>
                  <w:color w:val="1F6FEB"/>
                  <w:u w:val="single"/>
                </w:rPr>
                <w:t xml:space="preserve">Abrir sección</w:t>
              </w:r>
            </w:hyperlink>
          </w:p>
        </w:tc>
      </w:tr>
    </w:tbl>
    <w:p/>
    <w:p>
      <w:r>
        <w:t xml:space="preserve">Repositorio técnico: </w:t>
      </w:r>
      <w:r>
        <w:t>(ubicación por definir)</w:t>
      </w:r>
    </w:p>
    <w:p>
      <w:pPr>
        <w:pStyle w:val="ListBullet"/>
      </w:pPr>
      <w:r>
        <w:rPr>
          <w:b/>
        </w:rPr>
        <w:t>docs/csv/</w:t>
      </w:r>
      <w:r>
        <w:t xml:space="preserve"> catálogo, columnas, relaciones, identidad, datos personales e indicadores en CSV.</w:t>
      </w:r>
    </w:p>
    <w:p>
      <w:pPr>
        <w:pStyle w:val="ListBullet"/>
      </w:pPr>
      <w:r>
        <w:rPr>
          <w:b/>
        </w:rPr>
        <w:t>docs/catalogo/</w:t>
      </w:r>
      <w:r>
        <w:t xml:space="preserve"> un documento Markdown por dominio con todas sus tablas y columnas.</w:t>
      </w:r>
    </w:p>
    <w:p>
      <w:pPr>
        <w:pStyle w:val="ListBullet"/>
      </w:pPr>
      <w:r>
        <w:rPr>
          <w:b/>
        </w:rPr>
        <w:t>docs/informe_extraccion_v0.1-prueba.md</w:t>
      </w:r>
      <w:r>
        <w:t xml:space="preserve"> cifras de la extracción y cambios frente a la anterior.</w:t>
      </w:r>
    </w:p>
    <w:p>
      <w:pPr>
        <w:pStyle w:val="ListBullet"/>
      </w:pPr>
      <w:r>
        <w:rPr>
          <w:b/>
        </w:rPr>
        <w:t>sql/extraccion/</w:t>
      </w:r>
      <w:r>
        <w:t xml:space="preserve"> consultas de solo lectura que producen todo lo anterior y permiten regenerarlo.</w:t>
      </w:r>
    </w:p>
    <w:p>
      <w:pPr>
        <w:pStyle w:val="Heading1"/>
      </w:pPr>
      <w:r>
        <w:t>Anexo · Términos</w:t>
      </w:r>
    </w:p>
    <w:p>
      <w:pPr>
        <w:pStyle w:val="ListBullet"/>
      </w:pPr>
      <w:r>
        <w:rPr>
          <w:b/>
        </w:rPr>
        <w:t xml:space="preserve">FK (llave foránea): </w:t>
      </w:r>
      <w:r>
        <w:t>restricción que garantiza que un valor exista en la tabla referenciada.</w:t>
      </w:r>
    </w:p>
    <w:p>
      <w:pPr>
        <w:pStyle w:val="ListBullet"/>
      </w:pPr>
      <w:r>
        <w:rPr>
          <w:b/>
        </w:rPr>
        <w:t xml:space="preserve">Relación implícita: </w:t>
      </w:r>
      <w:r>
        <w:t>columna que por su nombre apunta a otra tabla, pero sin FK que lo garantice.</w:t>
      </w:r>
    </w:p>
    <w:p>
      <w:pPr>
        <w:pStyle w:val="ListBullet"/>
      </w:pPr>
      <w:r>
        <w:rPr>
          <w:b/>
        </w:rPr>
        <w:t xml:space="preserve">Multiplicidad UML: </w:t>
      </w:r>
      <w:r>
        <w:t>cuántos registros de cada lado participan en una relación (0..1, 1, 0..*, 1..*).</w:t>
      </w:r>
    </w:p>
    <w:p>
      <w:pPr>
        <w:pStyle w:val="ListBullet"/>
      </w:pPr>
      <w:r>
        <w:rPr>
          <w:b/>
        </w:rPr>
        <w:t xml:space="preserve">Tabla de apoyo: </w:t>
      </w:r>
      <w:r>
        <w:t>respaldo, copia, migración o temporal identificada por su nombre.</w:t>
      </w:r>
    </w:p>
    <w:p>
      <w:pPr>
        <w:pStyle w:val="ListBullet"/>
      </w:pPr>
      <w:r>
        <w:rPr>
          <w:b/>
        </w:rPr>
        <w:t xml:space="preserve">Fuente maestra: </w:t>
      </w:r>
      <w:r>
        <w:t>tabla de referencia para un dato (por ejemplo, los datos de identidad de una persona).</w:t>
      </w:r>
    </w:p>
    <w:p>
      <w:r>
        <w:rPr>
          <w:color w:val="5D6B7E"/>
          <w:sz w:val="17"/>
        </w:rPr>
        <w:t>Generado el 2026-10-21 con herramientas/generar_resumen.py a partir de la extracción del 2026-10-21.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3D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3D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jemplo.invalid/Portal_de_Datos_ESAP_v0.1-prueba.html" TargetMode="External"/><Relationship Id="rId10" Type="http://schemas.openxmlformats.org/officeDocument/2006/relationships/hyperlink" Target="https://ejemplo.invalid/Portal_de_Datos_ESAP_v0.1-prueba.html#catalogo" TargetMode="External"/><Relationship Id="rId11" Type="http://schemas.openxmlformats.org/officeDocument/2006/relationships/hyperlink" Target="https://ejemplo.invalid/Portal_de_Datos_ESAP_v0.1-prueba.html#modelo" TargetMode="External"/><Relationship Id="rId12" Type="http://schemas.openxmlformats.org/officeDocument/2006/relationships/hyperlink" Target="https://ejemplo.invalid/Portal_de_Datos_ESAP_v0.1-prueba.html#relaciones" TargetMode="External"/><Relationship Id="rId13" Type="http://schemas.openxmlformats.org/officeDocument/2006/relationships/hyperlink" Target="https://ejemplo.invalid/Portal_de_Datos_ESAP_v0.1-prueba.html#calidad" TargetMode="External"/><Relationship Id="rId14" Type="http://schemas.openxmlformats.org/officeDocument/2006/relationships/hyperlink" Target="https://ejemplo.invalid/Portal_de_Datos_ESAP_v0.1-prueba.html#identidad" TargetMode="External"/><Relationship Id="rId15" Type="http://schemas.openxmlformats.org/officeDocument/2006/relationships/hyperlink" Target="https://ejemplo.invalid/Portal_de_Datos_ESAP_v0.1-prueba.html#persona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