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5D6B7E"/>
          <w:sz w:val="20"/>
        </w:rPr>
        <w:t>Escuela Superior de Administración Pública · SuperApp ESAP · Fase 2</w:t>
      </w:r>
    </w:p>
    <w:p>
      <w:r>
        <w:rPr>
          <w:b/>
          <w:color w:val="0B3D91"/>
          <w:sz w:val="42"/>
        </w:rPr>
        <w:t>Resumen ejecutivo de la base de datos</w:t>
      </w:r>
    </w:p>
    <w:p>
      <w:r>
        <w:rPr>
          <w:color w:val="5D6B7E"/>
        </w:rPr>
        <w:t>Entorno QA · base esap_db · corte del 22 de octubre de 2026 · versión v1.3</w:t>
      </w:r>
    </w:p>
    <w:p>
      <w:pPr>
        <w:pStyle w:val="Heading1"/>
      </w:pPr>
      <w:r>
        <w:t>1. Propósito</w:t>
      </w:r>
    </w:p>
    <w:p>
      <w:r>
        <w:t>Este documento presenta la base de datos de la SuperApp ESAP: su alcance, su organización por dominios y el contenido de su modelo. El detalle de cada tabla, columna y relación se consulta en el Portal de Datos ESAP. Las consultas, los archivos CSV y la documentación en Markdown que respaldan el portal están en el repositorio técnico (sección 6).</w:t>
      </w:r>
    </w:p>
    <w:p>
      <w:r>
        <w:t>Esta versión cubre solo la Fase 2 del proyecto. Módulos de la Fase 2 de la SuperApp ESAP: Programación académica, RUND, Contratación, Gestión de infraestructura, Viáticos y Chatbot. Las cifras de este documento se limitan a esas tablas. Las tablas de otros dominios a las que hacen referencia se muestran en el Modelo ER del portal como «otro dominio».</w:t>
      </w:r>
    </w:p>
    <w:p>
      <w:pPr>
        <w:pStyle w:val="Heading1"/>
      </w:pPr>
      <w:r>
        <w:t>2. Fuente y alcance</w:t>
      </w:r>
    </w:p>
    <w:p>
      <w:r>
        <w:t>La información proviene de una extracción de solo lectura de la base esap_db en el entorno QA, realizada el 22 de octubre de 2026. La extracción consulta el catálogo de PostgreSQL, las estadísticas del motor y conteos agregados. No incluye valores de los registros.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3118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5953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Motor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PostgreSQL 16.14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Tamaño de la base (completa)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618,4 MB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Dominios (esquemas)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Tablas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154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Vistas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Columnas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1.905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Filas (conteo exacto)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26.341</w:t>
            </w:r>
          </w:p>
        </w:tc>
      </w:tr>
    </w:tbl>
    <w:p/>
    <w:p>
      <w:pPr>
        <w:pStyle w:val="Heading1"/>
      </w:pPr>
      <w:r>
        <w:t>3. Organización por dominios</w:t>
      </w:r>
    </w:p>
    <w:p>
      <w:r>
        <w:t>Cada esquema de la base agrupa las tablas de un dominio funcional de la SuperApp.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3061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Dominio</w:t>
            </w:r>
          </w:p>
        </w:tc>
        <w:tc>
          <w:tcPr>
            <w:tcW w:type="dxa" w:w="2608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Esquema</w:t>
            </w:r>
          </w:p>
        </w:tc>
        <w:tc>
          <w:tcPr>
            <w:tcW w:type="dxa" w:w="1020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Tablas</w:t>
            </w:r>
          </w:p>
        </w:tc>
        <w:tc>
          <w:tcPr>
            <w:tcW w:type="dxa" w:w="1134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Columnas</w:t>
            </w:r>
          </w:p>
        </w:tc>
        <w:tc>
          <w:tcPr>
            <w:tcW w:type="dxa" w:w="1474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Filas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8"/>
              </w:rPr>
              <w:t>Programación académica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academic-schedule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14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8"/>
              </w:rPr>
              <w:t>147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666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8"/>
              </w:rPr>
              <w:t>RUND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academic_work_plan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15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8"/>
              </w:rPr>
              <w:t>236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23.344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8"/>
              </w:rPr>
              <w:t>Contratación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hiring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84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8"/>
              </w:rPr>
              <w:t>952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1.961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8"/>
              </w:rPr>
              <w:t>Gestión de infraestructura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infrastructure-management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8"/>
              </w:rPr>
              <w:t>143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162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8"/>
              </w:rPr>
              <w:t>Viáticos y gastos de viaje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travel_expenses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30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8"/>
              </w:rPr>
              <w:t>402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208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8"/>
              </w:rPr>
              <w:t>Asistente virtual (chatbot)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chatbot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8"/>
              </w:rPr>
              <w:t>25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0</w:t>
            </w:r>
          </w:p>
        </w:tc>
      </w:tr>
    </w:tbl>
    <w:p/>
    <w:p>
      <w:pPr>
        <w:pStyle w:val="Heading1"/>
      </w:pPr>
      <w:r>
        <w:t>4. Contenido del modelo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4252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1587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Cantidad</w:t>
            </w:r>
          </w:p>
        </w:tc>
        <w:tc>
          <w:tcPr>
            <w:tcW w:type="dxa" w:w="3231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Dónde se consulta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8"/>
              </w:rPr>
              <w:t>Relaciones declaradas (llaves foráneas)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8"/>
              </w:rPr>
              <w:t>210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Portal › Modelo ER y ficha de cada tabla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8"/>
              </w:rPr>
              <w:t>Relaciones lógicas sin FK, confirmadas con los datos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Portal › Modelo ER (relaciones lógicas) y ficha de tabla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8"/>
              </w:rPr>
              <w:t>Funciones y procedimientos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8"/>
              </w:rPr>
              <w:t>15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Portal › Inventario de programables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8"/>
              </w:rPr>
              <w:t>Triggers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8"/>
              </w:rPr>
              <w:t>17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Portal › Inventario de programables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8"/>
              </w:rPr>
              <w:t>Vistas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Portal › Inventario de programables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8"/>
              </w:rPr>
              <w:t>Tipos enumerados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Repositorio › docs/csv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8"/>
              </w:rPr>
              <w:t>Tablas con descripción registrada en la base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8"/>
              </w:rPr>
              <w:t>95 de 154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Portal › Inicio (indicadores) y ficha de tabla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8"/>
              </w:rPr>
              <w:t>Columnas con descripción registrada en la base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8"/>
              </w:rPr>
              <w:t>170 de 1.905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Portal › ficha de tabla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8"/>
              </w:rPr>
              <w:t>Tablas con descripción validada, por registrar en la base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8"/>
              </w:rPr>
              <w:t>53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Portal › ficha de tabla (etiqueta «validada»)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8"/>
              </w:rPr>
              <w:t>Columnas con descripción validada, por registrar en la base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8"/>
              </w:rPr>
              <w:t>1.673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Portal › ficha de tabla (etiqueta «validada»)</w:t>
            </w:r>
          </w:p>
        </w:tc>
      </w:tr>
    </w:tbl>
    <w:p/>
    <w:p>
      <w:r>
        <w:t>Las relaciones se documentan con su multiplicidad UML (por ejemplo, 0..* → 1), medida con los datos del entorno. El modelo entidad-relación se presenta por dominio y muestra también las relaciones con tablas de otros dominios.</w:t>
      </w:r>
    </w:p>
    <w:p>
      <w:pPr>
        <w:pStyle w:val="Heading1"/>
      </w:pPr>
      <w:r>
        <w:t>5. Datos personales</w:t>
      </w:r>
    </w:p>
    <w:p>
      <w:r>
        <w:t>El portal identifica 35 columnas que, por su nombre, contienen datos personales, clasificadas según las categorías de la Ley 1581 de 2012. La clasificación se hace por nombre y tipo de columna, sin revisar valores, se muestra en la ficha de cada tabla y sirve de insumo para el responsable del tratamiento de datos.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535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1701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Columnas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Contacto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8"/>
              </w:rPr>
              <w:t>13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Identificación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8"/>
              </w:rPr>
              <w:t>7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Identificador en línea (IP)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Nombre de persona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Dato personal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Credencial de acceso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8"/>
              </w:rPr>
              <w:t>2</w:t>
            </w:r>
          </w:p>
        </w:tc>
      </w:tr>
    </w:tbl>
    <w:p/>
    <w:p>
      <w:pPr>
        <w:pStyle w:val="Heading1"/>
      </w:pPr>
      <w:r>
        <w:t>6. Dónde consultar el detalle</w:t>
      </w:r>
    </w:p>
    <w:p>
      <w:r>
        <w:t xml:space="preserve">Portal de Datos ESAP · Fase 2 v1.3: </w:t>
      </w:r>
      <w:r>
        <w:t>portal/fase2/Portal_de_Datos_ESAP_Fase2_v1.3.html. Es un archivo HTML autónomo que se abre en cualquier navegador, sin conexión.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871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Sección del portal</w:t>
            </w:r>
          </w:p>
        </w:tc>
        <w:tc>
          <w:tcPr>
            <w:tcW w:type="dxa" w:w="5499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Contenido</w:t>
            </w:r>
          </w:p>
        </w:tc>
        <w:tc>
          <w:tcPr>
            <w:tcW w:type="dxa" w:w="1701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Enlace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Inicio</w:t>
            </w:r>
          </w:p>
        </w:tc>
        <w:tc>
          <w:tcPr>
            <w:tcW w:type="dxa" w:w="5499"/>
          </w:tcPr>
          <w:p>
            <w:r/>
            <w:r>
              <w:rPr>
                <w:sz w:val="18"/>
              </w:rPr>
              <w:t>Cifras del catálogo, indicadores del modelo de datos (ISO/IEC 25012) y dominios funcionales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#welcome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Buscador y fichas de tabla</w:t>
            </w:r>
          </w:p>
        </w:tc>
        <w:tc>
          <w:tcPr>
            <w:tcW w:type="dxa" w:w="5499"/>
          </w:tcPr>
          <w:p>
            <w:r/>
            <w:r>
              <w:rPr>
                <w:sz w:val="18"/>
              </w:rPr>
              <w:t>Menú por esquema y buscador de tablas, columnas y programables. Cada ficha muestra propósito, campos, restricciones, datos personales, relaciones, vista enfocada del Modelo ER y lógica relacionada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#academic-schedule.asignacion_docente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Modelo ER</w:t>
            </w:r>
          </w:p>
        </w:tc>
        <w:tc>
          <w:tcPr>
            <w:tcW w:type="dxa" w:w="5499"/>
          </w:tcPr>
          <w:p>
            <w:r/>
            <w:r>
              <w:rPr>
                <w:sz w:val="18"/>
              </w:rPr>
              <w:t>Diagrama entidad-relación por dominio, con cardinalidad UML y relaciones lógicas; exportable a SVG y PNG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#modelo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Inventario de programables</w:t>
            </w:r>
          </w:p>
        </w:tc>
        <w:tc>
          <w:tcPr>
            <w:tcW w:type="dxa" w:w="5499"/>
          </w:tcPr>
          <w:p>
            <w:r/>
            <w:r>
              <w:rPr>
                <w:sz w:val="18"/>
              </w:rPr>
              <w:t>Funciones, procedimientos, vistas y triggers, con las tablas que usan, a quién invocan y quién los invoca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#inventario</w:t>
            </w:r>
          </w:p>
        </w:tc>
      </w:tr>
    </w:tbl>
    <w:p/>
    <w:p>
      <w:r>
        <w:t xml:space="preserve">Repositorio técnico: </w:t>
      </w:r>
      <w:hyperlink r:id="rId9">
        <w:r>
          <w:rPr>
            <w:color w:val="1F6FEB"/>
            <w:u w:val="single"/>
          </w:rPr>
          <w:t xml:space="preserve">https://github.com/aldairgonzalez-ops/esap-portal-datos</w:t>
        </w:r>
      </w:hyperlink>
    </w:p>
    <w:p>
      <w:pPr>
        <w:pStyle w:val="ListBullet"/>
      </w:pPr>
      <w:r>
        <w:rPr>
          <w:b/>
        </w:rPr>
        <w:t>docs/fase2/csv/</w:t>
      </w:r>
      <w:r>
        <w:t xml:space="preserve"> catálogo, columnas, relaciones, programables y datos personales en formato CSV.</w:t>
      </w:r>
    </w:p>
    <w:p>
      <w:pPr>
        <w:pStyle w:val="ListBullet"/>
      </w:pPr>
      <w:r>
        <w:rPr>
          <w:b/>
        </w:rPr>
        <w:t>docs/fase2/catalogo/</w:t>
      </w:r>
      <w:r>
        <w:t xml:space="preserve"> un documento Markdown por dominio con todas sus tablas y columnas.</w:t>
      </w:r>
    </w:p>
    <w:p>
      <w:pPr>
        <w:pStyle w:val="ListBullet"/>
      </w:pPr>
      <w:r>
        <w:rPr>
          <w:b/>
        </w:rPr>
        <w:t>docs/fase2/informe_extraccion_Fase2_v1.3.md</w:t>
      </w:r>
      <w:r>
        <w:t xml:space="preserve"> cifras de la extracción y cambios frente al corte anterior.</w:t>
      </w:r>
    </w:p>
    <w:p>
      <w:pPr>
        <w:pStyle w:val="ListBullet"/>
      </w:pPr>
      <w:r>
        <w:rPr>
          <w:b/>
        </w:rPr>
        <w:t>sql/extraccion/</w:t>
      </w:r>
      <w:r>
        <w:t xml:space="preserve"> consultas de solo lectura que producen esta información y permiten regenerarla.</w:t>
      </w:r>
    </w:p>
    <w:p>
      <w:pPr>
        <w:pStyle w:val="Heading1"/>
      </w:pPr>
      <w:r>
        <w:t>Anexo · Términos</w:t>
      </w:r>
    </w:p>
    <w:p>
      <w:pPr>
        <w:pStyle w:val="ListBullet"/>
      </w:pPr>
      <w:r>
        <w:rPr>
          <w:b/>
        </w:rPr>
        <w:t xml:space="preserve">Llave foránea (FK): </w:t>
      </w:r>
      <w:r>
        <w:t>restricción que obliga a que un valor exista en la tabla referenciada.</w:t>
      </w:r>
    </w:p>
    <w:p>
      <w:pPr>
        <w:pStyle w:val="ListBullet"/>
      </w:pPr>
      <w:r>
        <w:rPr>
          <w:b/>
        </w:rPr>
        <w:t xml:space="preserve">Relación lógica: </w:t>
      </w:r>
      <w:r>
        <w:t>columna que, por su nombre, corresponde a la clave de otra tabla y no tiene FK declarada.</w:t>
      </w:r>
    </w:p>
    <w:p>
      <w:pPr>
        <w:pStyle w:val="ListBullet"/>
      </w:pPr>
      <w:r>
        <w:rPr>
          <w:b/>
        </w:rPr>
        <w:t xml:space="preserve">Multiplicidad UML: </w:t>
      </w:r>
      <w:r>
        <w:t>número de registros de cada lado que participan en una relación (0..1, 1, 0..*, 1..*).</w:t>
      </w:r>
    </w:p>
    <w:p>
      <w:pPr>
        <w:pStyle w:val="ListBullet"/>
      </w:pPr>
      <w:r>
        <w:rPr>
          <w:b/>
        </w:rPr>
        <w:t xml:space="preserve">Tabla de apoyo: </w:t>
      </w:r>
      <w:r>
        <w:t>tabla de respaldo, copia, migración o temporal, identificada por su nombre.</w:t>
      </w:r>
    </w:p>
    <w:p>
      <w:pPr>
        <w:pStyle w:val="ListBullet"/>
      </w:pPr>
      <w:r>
        <w:rPr>
          <w:b/>
        </w:rPr>
        <w:t xml:space="preserve">Fuente maestra: </w:t>
      </w:r>
      <w:r>
        <w:t>tabla de referencia de un dato, como los datos de identificación de una persona.</w:t>
      </w:r>
    </w:p>
    <w:p>
      <w:r>
        <w:rPr>
          <w:color w:val="5D6B7E"/>
          <w:sz w:val="17"/>
        </w:rPr>
        <w:t>Generado el 2026-10-22 con herramientas/generar_resumen.py a partir de la extracción del 2026-10-22.</w:t>
      </w:r>
    </w:p>
    <w:sectPr w:rsidR="00FC693F" w:rsidRPr="0006063C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3D9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B3D9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B3D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aldairgonzalez-ops/esap-portal-dato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