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color w:val="5D6B7E"/>
          <w:sz w:val="20"/>
        </w:rPr>
        <w:t>Escuela Superior de Administración Pública · SuperApp ESAP</w:t>
      </w:r>
    </w:p>
    <w:p>
      <w:r>
        <w:rPr>
          <w:b/>
          <w:color w:val="0B3D91"/>
          <w:sz w:val="42"/>
        </w:rPr>
        <w:t>Resumen ejecutivo de la base de datos</w:t>
      </w:r>
    </w:p>
    <w:p>
      <w:r>
        <w:rPr>
          <w:color w:val="5D6B7E"/>
        </w:rPr>
        <w:t>Entorno QA · base esap_db · corte del 21 de octubre de 2026 · versión v1.0</w:t>
      </w:r>
    </w:p>
    <w:p>
      <w:pPr>
        <w:pStyle w:val="Heading1"/>
      </w:pPr>
      <w:r>
        <w:t>1. Propósito</w:t>
      </w:r>
    </w:p>
    <w:p>
      <w:r>
        <w:t>Este documento presenta la base de datos de la SuperApp ESAP: su alcance, su organización por dominios y el contenido de su modelo. El detalle de cada tabla, columna y relación se consulta en el Portal de Datos ESAP. Las consultas, los archivos CSV y la documentación en Markdown que respaldan el portal están en el repositorio técnico (sección 6).</w:t>
      </w:r>
    </w:p>
    <w:p>
      <w:pPr>
        <w:pStyle w:val="Heading1"/>
      </w:pPr>
      <w:r>
        <w:t>2. Fuente y alcance</w:t>
      </w:r>
    </w:p>
    <w:p>
      <w:r>
        <w:t>La información proviene de una extracción de solo lectura de la base esap_db en el entorno QA, realizada el 21 de octubre de 2026. La extracción consulta el catálogo de PostgreSQL, las estadísticas del motor y conteos agregados. No incluye valores de los registros.</w:t>
      </w:r>
    </w:p>
    <w:tbl>
      <w:tblPr>
        <w:tblStyle w:val="TableGrid"/>
        <w:tblW w:type="auto" w:w="0"/>
        <w:jc w:val="center"/>
        <w:tblLayout w:type="fixed"/>
        <w:tblLook w:firstColumn="1" w:firstRow="1" w:lastColumn="0" w:lastRow="0" w:noHBand="0" w:noVBand="1" w:val="04A0"/>
      </w:tblPr>
      <w:tblGrid>
        <w:gridCol w:w="4816"/>
        <w:gridCol w:w="4816"/>
      </w:tblGrid>
      <w:tr>
        <w:tc>
          <w:tcPr>
            <w:tcW w:type="dxa" w:w="3118"/>
            <w:shd w:val="clear" w:color="auto" w:fill="0B3D91"/>
          </w:tcPr>
          <w:p>
            <w:r/>
            <w:r>
              <w:rPr>
                <w:b/>
                <w:color w:val="FFFFFF"/>
                <w:sz w:val="18"/>
              </w:rPr>
              <w:t>Elemento</w:t>
            </w:r>
          </w:p>
        </w:tc>
        <w:tc>
          <w:tcPr>
            <w:tcW w:type="dxa" w:w="5953"/>
            <w:shd w:val="clear" w:color="auto" w:fill="0B3D91"/>
          </w:tcPr>
          <w:p>
            <w:r/>
            <w:r>
              <w:rPr>
                <w:b/>
                <w:color w:val="FFFFFF"/>
                <w:sz w:val="18"/>
              </w:rPr>
              <w:t>Valor</w:t>
            </w:r>
          </w:p>
        </w:tc>
      </w:tr>
      <w:tr>
        <w:tc>
          <w:tcPr>
            <w:tcW w:type="dxa" w:w="3118"/>
          </w:tcPr>
          <w:p>
            <w:r/>
            <w:r>
              <w:rPr>
                <w:sz w:val="18"/>
              </w:rPr>
              <w:t>Motor</w:t>
            </w:r>
          </w:p>
        </w:tc>
        <w:tc>
          <w:tcPr>
            <w:tcW w:type="dxa" w:w="5953"/>
          </w:tcPr>
          <w:p>
            <w:r/>
            <w:r>
              <w:rPr>
                <w:sz w:val="18"/>
              </w:rPr>
              <w:t>PostgreSQL 16.14</w:t>
            </w:r>
          </w:p>
        </w:tc>
      </w:tr>
      <w:tr>
        <w:tc>
          <w:tcPr>
            <w:tcW w:type="dxa" w:w="3118"/>
          </w:tcPr>
          <w:p>
            <w:r/>
            <w:r>
              <w:rPr>
                <w:sz w:val="18"/>
              </w:rPr>
              <w:t>Tamaño de la base</w:t>
            </w:r>
          </w:p>
        </w:tc>
        <w:tc>
          <w:tcPr>
            <w:tcW w:type="dxa" w:w="5953"/>
          </w:tcPr>
          <w:p>
            <w:r/>
            <w:r>
              <w:rPr>
                <w:sz w:val="18"/>
              </w:rPr>
              <w:t>618,1 MB</w:t>
            </w:r>
          </w:p>
        </w:tc>
      </w:tr>
      <w:tr>
        <w:tc>
          <w:tcPr>
            <w:tcW w:type="dxa" w:w="3118"/>
          </w:tcPr>
          <w:p>
            <w:r/>
            <w:r>
              <w:rPr>
                <w:sz w:val="18"/>
              </w:rPr>
              <w:t>Dominios (esquemas)</w:t>
            </w:r>
          </w:p>
        </w:tc>
        <w:tc>
          <w:tcPr>
            <w:tcW w:type="dxa" w:w="5953"/>
          </w:tcPr>
          <w:p>
            <w:r/>
            <w:r>
              <w:rPr>
                <w:sz w:val="18"/>
              </w:rPr>
              <w:t>16</w:t>
            </w:r>
          </w:p>
        </w:tc>
      </w:tr>
      <w:tr>
        <w:tc>
          <w:tcPr>
            <w:tcW w:type="dxa" w:w="3118"/>
          </w:tcPr>
          <w:p>
            <w:r/>
            <w:r>
              <w:rPr>
                <w:sz w:val="18"/>
              </w:rPr>
              <w:t>Tablas</w:t>
            </w:r>
          </w:p>
        </w:tc>
        <w:tc>
          <w:tcPr>
            <w:tcW w:type="dxa" w:w="5953"/>
          </w:tcPr>
          <w:p>
            <w:r/>
            <w:r>
              <w:rPr>
                <w:sz w:val="18"/>
              </w:rPr>
              <w:t>418, de las cuales 1 es de apoyo (respaldo, copia o migración)</w:t>
            </w:r>
          </w:p>
        </w:tc>
      </w:tr>
      <w:tr>
        <w:tc>
          <w:tcPr>
            <w:tcW w:type="dxa" w:w="3118"/>
          </w:tcPr>
          <w:p>
            <w:r/>
            <w:r>
              <w:rPr>
                <w:sz w:val="18"/>
              </w:rPr>
              <w:t>Vistas</w:t>
            </w:r>
          </w:p>
        </w:tc>
        <w:tc>
          <w:tcPr>
            <w:tcW w:type="dxa" w:w="5953"/>
          </w:tcPr>
          <w:p>
            <w:r/>
            <w:r>
              <w:rPr>
                <w:sz w:val="18"/>
              </w:rPr>
              <w:t>8</w:t>
            </w:r>
          </w:p>
        </w:tc>
      </w:tr>
      <w:tr>
        <w:tc>
          <w:tcPr>
            <w:tcW w:type="dxa" w:w="3118"/>
          </w:tcPr>
          <w:p>
            <w:r/>
            <w:r>
              <w:rPr>
                <w:sz w:val="18"/>
              </w:rPr>
              <w:t>Columnas</w:t>
            </w:r>
          </w:p>
        </w:tc>
        <w:tc>
          <w:tcPr>
            <w:tcW w:type="dxa" w:w="5953"/>
          </w:tcPr>
          <w:p>
            <w:r/>
            <w:r>
              <w:rPr>
                <w:sz w:val="18"/>
              </w:rPr>
              <w:t>5.700</w:t>
            </w:r>
          </w:p>
        </w:tc>
      </w:tr>
      <w:tr>
        <w:tc>
          <w:tcPr>
            <w:tcW w:type="dxa" w:w="3118"/>
          </w:tcPr>
          <w:p>
            <w:r/>
            <w:r>
              <w:rPr>
                <w:sz w:val="18"/>
              </w:rPr>
              <w:t>Filas (conteo exacto)</w:t>
            </w:r>
          </w:p>
        </w:tc>
        <w:tc>
          <w:tcPr>
            <w:tcW w:type="dxa" w:w="5953"/>
          </w:tcPr>
          <w:p>
            <w:r/>
            <w:r>
              <w:rPr>
                <w:sz w:val="18"/>
              </w:rPr>
              <w:t>228.196</w:t>
            </w:r>
          </w:p>
        </w:tc>
      </w:tr>
    </w:tbl>
    <w:p/>
    <w:p>
      <w:pPr>
        <w:pStyle w:val="Heading1"/>
      </w:pPr>
      <w:r>
        <w:t>3. Organización por dominios</w:t>
      </w:r>
    </w:p>
    <w:p>
      <w:r>
        <w:t>Cada esquema de la base agrupa las tablas de un dominio funcional de la SuperApp.</w:t>
      </w:r>
    </w:p>
    <w:tbl>
      <w:tblPr>
        <w:tblStyle w:val="TableGrid"/>
        <w:tblW w:type="auto" w:w="0"/>
        <w:jc w:val="center"/>
        <w:tblLayout w:type="fixed"/>
        <w:tblLook w:firstColumn="1" w:firstRow="1" w:lastColumn="0" w:lastRow="0" w:noHBand="0" w:noVBand="1" w:val="04A0"/>
      </w:tblPr>
      <w:tblGrid>
        <w:gridCol w:w="1926"/>
        <w:gridCol w:w="1926"/>
        <w:gridCol w:w="1926"/>
        <w:gridCol w:w="1926"/>
        <w:gridCol w:w="1926"/>
      </w:tblGrid>
      <w:tr>
        <w:tc>
          <w:tcPr>
            <w:tcW w:type="dxa" w:w="3061"/>
            <w:shd w:val="clear" w:color="auto" w:fill="0B3D91"/>
          </w:tcPr>
          <w:p>
            <w:r/>
            <w:r>
              <w:rPr>
                <w:b/>
                <w:color w:val="FFFFFF"/>
                <w:sz w:val="18"/>
              </w:rPr>
              <w:t>Dominio</w:t>
            </w:r>
          </w:p>
        </w:tc>
        <w:tc>
          <w:tcPr>
            <w:tcW w:type="dxa" w:w="2608"/>
            <w:shd w:val="clear" w:color="auto" w:fill="0B3D91"/>
          </w:tcPr>
          <w:p>
            <w:r/>
            <w:r>
              <w:rPr>
                <w:b/>
                <w:color w:val="FFFFFF"/>
                <w:sz w:val="18"/>
              </w:rPr>
              <w:t>Esquema</w:t>
            </w:r>
          </w:p>
        </w:tc>
        <w:tc>
          <w:tcPr>
            <w:tcW w:type="dxa" w:w="1020"/>
            <w:shd w:val="clear" w:color="auto" w:fill="0B3D91"/>
          </w:tcPr>
          <w:p>
            <w:r/>
            <w:r>
              <w:rPr>
                <w:b/>
                <w:color w:val="FFFFFF"/>
                <w:sz w:val="18"/>
              </w:rPr>
              <w:t>Tablas</w:t>
            </w:r>
          </w:p>
        </w:tc>
        <w:tc>
          <w:tcPr>
            <w:tcW w:type="dxa" w:w="1134"/>
            <w:shd w:val="clear" w:color="auto" w:fill="0B3D91"/>
          </w:tcPr>
          <w:p>
            <w:r/>
            <w:r>
              <w:rPr>
                <w:b/>
                <w:color w:val="FFFFFF"/>
                <w:sz w:val="18"/>
              </w:rPr>
              <w:t>Columnas</w:t>
            </w:r>
          </w:p>
        </w:tc>
        <w:tc>
          <w:tcPr>
            <w:tcW w:type="dxa" w:w="1474"/>
            <w:shd w:val="clear" w:color="auto" w:fill="0B3D91"/>
          </w:tcPr>
          <w:p>
            <w:r/>
            <w:r>
              <w:rPr>
                <w:b/>
                <w:color w:val="FFFFFF"/>
                <w:sz w:val="18"/>
              </w:rPr>
              <w:t>Filas</w:t>
            </w:r>
          </w:p>
        </w:tc>
      </w:tr>
      <w:tr>
        <w:tc>
          <w:tcPr>
            <w:tcW w:type="dxa" w:w="3061"/>
          </w:tcPr>
          <w:p>
            <w:r/>
            <w:r>
              <w:rPr>
                <w:sz w:val="18"/>
              </w:rPr>
              <w:t>Identidad y acceso</w:t>
            </w:r>
          </w:p>
        </w:tc>
        <w:tc>
          <w:tcPr>
            <w:tcW w:type="dxa" w:w="2608"/>
          </w:tcPr>
          <w:p>
            <w:r/>
            <w:r>
              <w:rPr>
                <w:sz w:val="18"/>
              </w:rPr>
              <w:t>auth</w:t>
            </w:r>
          </w:p>
        </w:tc>
        <w:tc>
          <w:tcPr>
            <w:tcW w:type="dxa" w:w="1020"/>
          </w:tcPr>
          <w:p>
            <w:pPr>
              <w:jc w:val="right"/>
            </w:pPr>
            <w:r/>
            <w:r>
              <w:rPr>
                <w:sz w:val="18"/>
              </w:rPr>
              <w:t>23</w:t>
            </w:r>
          </w:p>
        </w:tc>
        <w:tc>
          <w:tcPr>
            <w:tcW w:type="dxa" w:w="1134"/>
          </w:tcPr>
          <w:p>
            <w:pPr>
              <w:jc w:val="right"/>
            </w:pPr>
            <w:r/>
            <w:r>
              <w:rPr>
                <w:sz w:val="18"/>
              </w:rPr>
              <w:t>275</w:t>
            </w:r>
          </w:p>
        </w:tc>
        <w:tc>
          <w:tcPr>
            <w:tcW w:type="dxa" w:w="1474"/>
          </w:tcPr>
          <w:p>
            <w:pPr>
              <w:jc w:val="right"/>
            </w:pPr>
            <w:r/>
            <w:r>
              <w:rPr>
                <w:sz w:val="18"/>
              </w:rPr>
              <w:t>9.012</w:t>
            </w:r>
          </w:p>
        </w:tc>
      </w:tr>
      <w:tr>
        <w:tc>
          <w:tcPr>
            <w:tcW w:type="dxa" w:w="3061"/>
          </w:tcPr>
          <w:p>
            <w:r/>
            <w:r>
              <w:rPr>
                <w:sz w:val="18"/>
              </w:rPr>
              <w:t>Registro académico</w:t>
            </w:r>
          </w:p>
        </w:tc>
        <w:tc>
          <w:tcPr>
            <w:tcW w:type="dxa" w:w="2608"/>
          </w:tcPr>
          <w:p>
            <w:r/>
            <w:r>
              <w:rPr>
                <w:sz w:val="18"/>
              </w:rPr>
              <w:t>academic_registration</w:t>
            </w:r>
          </w:p>
        </w:tc>
        <w:tc>
          <w:tcPr>
            <w:tcW w:type="dxa" w:w="1020"/>
          </w:tcPr>
          <w:p>
            <w:pPr>
              <w:jc w:val="right"/>
            </w:pPr>
            <w:r/>
            <w:r>
              <w:rPr>
                <w:sz w:val="18"/>
              </w:rPr>
              <w:t>10</w:t>
            </w:r>
          </w:p>
        </w:tc>
        <w:tc>
          <w:tcPr>
            <w:tcW w:type="dxa" w:w="1134"/>
          </w:tcPr>
          <w:p>
            <w:pPr>
              <w:jc w:val="right"/>
            </w:pPr>
            <w:r/>
            <w:r>
              <w:rPr>
                <w:sz w:val="18"/>
              </w:rPr>
              <w:t>183</w:t>
            </w:r>
          </w:p>
        </w:tc>
        <w:tc>
          <w:tcPr>
            <w:tcW w:type="dxa" w:w="1474"/>
          </w:tcPr>
          <w:p>
            <w:pPr>
              <w:jc w:val="right"/>
            </w:pPr>
            <w:r/>
            <w:r>
              <w:rPr>
                <w:sz w:val="18"/>
              </w:rPr>
              <w:t>11.215</w:t>
            </w:r>
          </w:p>
        </w:tc>
      </w:tr>
      <w:tr>
        <w:tc>
          <w:tcPr>
            <w:tcW w:type="dxa" w:w="3061"/>
          </w:tcPr>
          <w:p>
            <w:r/>
            <w:r>
              <w:rPr>
                <w:sz w:val="18"/>
              </w:rPr>
              <w:t>Plan de trabajo académico</w:t>
            </w:r>
          </w:p>
        </w:tc>
        <w:tc>
          <w:tcPr>
            <w:tcW w:type="dxa" w:w="2608"/>
          </w:tcPr>
          <w:p>
            <w:r/>
            <w:r>
              <w:rPr>
                <w:sz w:val="18"/>
              </w:rPr>
              <w:t>academic_work_plan</w:t>
            </w:r>
          </w:p>
        </w:tc>
        <w:tc>
          <w:tcPr>
            <w:tcW w:type="dxa" w:w="1020"/>
          </w:tcPr>
          <w:p>
            <w:pPr>
              <w:jc w:val="right"/>
            </w:pPr>
            <w:r/>
            <w:r>
              <w:rPr>
                <w:sz w:val="18"/>
              </w:rPr>
              <w:t>57</w:t>
            </w:r>
          </w:p>
        </w:tc>
        <w:tc>
          <w:tcPr>
            <w:tcW w:type="dxa" w:w="1134"/>
          </w:tcPr>
          <w:p>
            <w:pPr>
              <w:jc w:val="right"/>
            </w:pPr>
            <w:r/>
            <w:r>
              <w:rPr>
                <w:sz w:val="18"/>
              </w:rPr>
              <w:t>731</w:t>
            </w:r>
          </w:p>
        </w:tc>
        <w:tc>
          <w:tcPr>
            <w:tcW w:type="dxa" w:w="1474"/>
          </w:tcPr>
          <w:p>
            <w:pPr>
              <w:jc w:val="right"/>
            </w:pPr>
            <w:r/>
            <w:r>
              <w:rPr>
                <w:sz w:val="18"/>
              </w:rPr>
              <w:t>39.324</w:t>
            </w:r>
          </w:p>
        </w:tc>
      </w:tr>
      <w:tr>
        <w:tc>
          <w:tcPr>
            <w:tcW w:type="dxa" w:w="3061"/>
          </w:tcPr>
          <w:p>
            <w:r/>
            <w:r>
              <w:rPr>
                <w:sz w:val="18"/>
              </w:rPr>
              <w:t>Certificaciones</w:t>
            </w:r>
          </w:p>
        </w:tc>
        <w:tc>
          <w:tcPr>
            <w:tcW w:type="dxa" w:w="2608"/>
          </w:tcPr>
          <w:p>
            <w:r/>
            <w:r>
              <w:rPr>
                <w:sz w:val="18"/>
              </w:rPr>
              <w:t>certification</w:t>
            </w:r>
          </w:p>
        </w:tc>
        <w:tc>
          <w:tcPr>
            <w:tcW w:type="dxa" w:w="1020"/>
          </w:tcPr>
          <w:p>
            <w:pPr>
              <w:jc w:val="right"/>
            </w:pPr>
            <w:r/>
            <w:r>
              <w:rPr>
                <w:sz w:val="18"/>
              </w:rPr>
              <w:t>13</w:t>
            </w:r>
          </w:p>
        </w:tc>
        <w:tc>
          <w:tcPr>
            <w:tcW w:type="dxa" w:w="1134"/>
          </w:tcPr>
          <w:p>
            <w:pPr>
              <w:jc w:val="right"/>
            </w:pPr>
            <w:r/>
            <w:r>
              <w:rPr>
                <w:sz w:val="18"/>
              </w:rPr>
              <w:t>208</w:t>
            </w:r>
          </w:p>
        </w:tc>
        <w:tc>
          <w:tcPr>
            <w:tcW w:type="dxa" w:w="1474"/>
          </w:tcPr>
          <w:p>
            <w:pPr>
              <w:jc w:val="right"/>
            </w:pPr>
            <w:r/>
            <w:r>
              <w:rPr>
                <w:sz w:val="18"/>
              </w:rPr>
              <w:t>15.908</w:t>
            </w:r>
          </w:p>
        </w:tc>
      </w:tr>
      <w:tr>
        <w:tc>
          <w:tcPr>
            <w:tcW w:type="dxa" w:w="3061"/>
          </w:tcPr>
          <w:p>
            <w:r/>
            <w:r>
              <w:rPr>
                <w:sz w:val="18"/>
              </w:rPr>
              <w:t>Gestión jurídica</w:t>
            </w:r>
          </w:p>
        </w:tc>
        <w:tc>
          <w:tcPr>
            <w:tcW w:type="dxa" w:w="2608"/>
          </w:tcPr>
          <w:p>
            <w:r/>
            <w:r>
              <w:rPr>
                <w:sz w:val="18"/>
              </w:rPr>
              <w:t>legal_management</w:t>
            </w:r>
          </w:p>
        </w:tc>
        <w:tc>
          <w:tcPr>
            <w:tcW w:type="dxa" w:w="1020"/>
          </w:tcPr>
          <w:p>
            <w:pPr>
              <w:jc w:val="right"/>
            </w:pPr>
            <w:r/>
            <w:r>
              <w:rPr>
                <w:sz w:val="18"/>
              </w:rPr>
              <w:t>54</w:t>
            </w:r>
          </w:p>
        </w:tc>
        <w:tc>
          <w:tcPr>
            <w:tcW w:type="dxa" w:w="1134"/>
          </w:tcPr>
          <w:p>
            <w:pPr>
              <w:jc w:val="right"/>
            </w:pPr>
            <w:r/>
            <w:r>
              <w:rPr>
                <w:sz w:val="18"/>
              </w:rPr>
              <w:t>791</w:t>
            </w:r>
          </w:p>
        </w:tc>
        <w:tc>
          <w:tcPr>
            <w:tcW w:type="dxa" w:w="1474"/>
          </w:tcPr>
          <w:p>
            <w:pPr>
              <w:jc w:val="right"/>
            </w:pPr>
            <w:r/>
            <w:r>
              <w:rPr>
                <w:sz w:val="18"/>
              </w:rPr>
              <w:t>33.017</w:t>
            </w:r>
          </w:p>
        </w:tc>
      </w:tr>
      <w:tr>
        <w:tc>
          <w:tcPr>
            <w:tcW w:type="dxa" w:w="3061"/>
          </w:tcPr>
          <w:p>
            <w:r/>
            <w:r>
              <w:rPr>
                <w:sz w:val="18"/>
              </w:rPr>
              <w:t>Control interno</w:t>
            </w:r>
          </w:p>
        </w:tc>
        <w:tc>
          <w:tcPr>
            <w:tcW w:type="dxa" w:w="2608"/>
          </w:tcPr>
          <w:p>
            <w:r/>
            <w:r>
              <w:rPr>
                <w:sz w:val="18"/>
              </w:rPr>
              <w:t>control_interno</w:t>
            </w:r>
          </w:p>
        </w:tc>
        <w:tc>
          <w:tcPr>
            <w:tcW w:type="dxa" w:w="1020"/>
          </w:tcPr>
          <w:p>
            <w:pPr>
              <w:jc w:val="right"/>
            </w:pPr>
            <w:r/>
            <w:r>
              <w:rPr>
                <w:sz w:val="18"/>
              </w:rPr>
              <w:t>85</w:t>
            </w:r>
          </w:p>
        </w:tc>
        <w:tc>
          <w:tcPr>
            <w:tcW w:type="dxa" w:w="1134"/>
          </w:tcPr>
          <w:p>
            <w:pPr>
              <w:jc w:val="right"/>
            </w:pPr>
            <w:r/>
            <w:r>
              <w:rPr>
                <w:sz w:val="18"/>
              </w:rPr>
              <w:t>1.310</w:t>
            </w:r>
          </w:p>
        </w:tc>
        <w:tc>
          <w:tcPr>
            <w:tcW w:type="dxa" w:w="1474"/>
          </w:tcPr>
          <w:p>
            <w:pPr>
              <w:jc w:val="right"/>
            </w:pPr>
            <w:r/>
            <w:r>
              <w:rPr>
                <w:sz w:val="18"/>
              </w:rPr>
              <w:t>34.506</w:t>
            </w:r>
          </w:p>
        </w:tc>
      </w:tr>
      <w:tr>
        <w:tc>
          <w:tcPr>
            <w:tcW w:type="dxa" w:w="3061"/>
          </w:tcPr>
          <w:p>
            <w:r/>
            <w:r>
              <w:rPr>
                <w:sz w:val="18"/>
              </w:rPr>
              <w:t>Control disciplinario interno</w:t>
            </w:r>
          </w:p>
        </w:tc>
        <w:tc>
          <w:tcPr>
            <w:tcW w:type="dxa" w:w="2608"/>
          </w:tcPr>
          <w:p>
            <w:r/>
            <w:r>
              <w:rPr>
                <w:sz w:val="18"/>
              </w:rPr>
              <w:t>internal_disciplinary_control</w:t>
            </w:r>
          </w:p>
        </w:tc>
        <w:tc>
          <w:tcPr>
            <w:tcW w:type="dxa" w:w="1020"/>
          </w:tcPr>
          <w:p>
            <w:pPr>
              <w:jc w:val="right"/>
            </w:pPr>
            <w:r/>
            <w:r>
              <w:rPr>
                <w:sz w:val="18"/>
              </w:rPr>
              <w:t>26</w:t>
            </w:r>
          </w:p>
        </w:tc>
        <w:tc>
          <w:tcPr>
            <w:tcW w:type="dxa" w:w="1134"/>
          </w:tcPr>
          <w:p>
            <w:pPr>
              <w:jc w:val="right"/>
            </w:pPr>
            <w:r/>
            <w:r>
              <w:rPr>
                <w:sz w:val="18"/>
              </w:rPr>
              <w:t>358</w:t>
            </w:r>
          </w:p>
        </w:tc>
        <w:tc>
          <w:tcPr>
            <w:tcW w:type="dxa" w:w="1474"/>
          </w:tcPr>
          <w:p>
            <w:pPr>
              <w:jc w:val="right"/>
            </w:pPr>
            <w:r/>
            <w:r>
              <w:rPr>
                <w:sz w:val="18"/>
              </w:rPr>
              <w:t>1.181</w:t>
            </w:r>
          </w:p>
        </w:tc>
      </w:tr>
      <w:tr>
        <w:tc>
          <w:tcPr>
            <w:tcW w:type="dxa" w:w="3061"/>
          </w:tcPr>
          <w:p>
            <w:r/>
            <w:r>
              <w:rPr>
                <w:sz w:val="18"/>
              </w:rPr>
              <w:t>Requerimientos</w:t>
            </w:r>
          </w:p>
        </w:tc>
        <w:tc>
          <w:tcPr>
            <w:tcW w:type="dxa" w:w="2608"/>
          </w:tcPr>
          <w:p>
            <w:r/>
            <w:r>
              <w:rPr>
                <w:sz w:val="18"/>
              </w:rPr>
              <w:t>requerimientos_oc</w:t>
            </w:r>
          </w:p>
        </w:tc>
        <w:tc>
          <w:tcPr>
            <w:tcW w:type="dxa" w:w="1020"/>
          </w:tcPr>
          <w:p>
            <w:pPr>
              <w:jc w:val="right"/>
            </w:pPr>
            <w:r/>
            <w:r>
              <w:rPr>
                <w:sz w:val="18"/>
              </w:rPr>
              <w:t>6</w:t>
            </w:r>
          </w:p>
        </w:tc>
        <w:tc>
          <w:tcPr>
            <w:tcW w:type="dxa" w:w="1134"/>
          </w:tcPr>
          <w:p>
            <w:pPr>
              <w:jc w:val="right"/>
            </w:pPr>
            <w:r/>
            <w:r>
              <w:rPr>
                <w:sz w:val="18"/>
              </w:rPr>
              <w:t>94</w:t>
            </w:r>
          </w:p>
        </w:tc>
        <w:tc>
          <w:tcPr>
            <w:tcW w:type="dxa" w:w="1474"/>
          </w:tcPr>
          <w:p>
            <w:pPr>
              <w:jc w:val="right"/>
            </w:pPr>
            <w:r/>
            <w:r>
              <w:rPr>
                <w:sz w:val="18"/>
              </w:rPr>
              <w:t>32</w:t>
            </w:r>
          </w:p>
        </w:tc>
      </w:tr>
      <w:tr>
        <w:tc>
          <w:tcPr>
            <w:tcW w:type="dxa" w:w="3061"/>
          </w:tcPr>
          <w:p>
            <w:r/>
            <w:r>
              <w:rPr>
                <w:sz w:val="18"/>
              </w:rPr>
              <w:t>Notificaciones</w:t>
            </w:r>
          </w:p>
        </w:tc>
        <w:tc>
          <w:tcPr>
            <w:tcW w:type="dxa" w:w="2608"/>
          </w:tcPr>
          <w:p>
            <w:r/>
            <w:r>
              <w:rPr>
                <w:sz w:val="18"/>
              </w:rPr>
              <w:t>notifications</w:t>
            </w:r>
          </w:p>
        </w:tc>
        <w:tc>
          <w:tcPr>
            <w:tcW w:type="dxa" w:w="1020"/>
          </w:tcPr>
          <w:p>
            <w:pPr>
              <w:jc w:val="right"/>
            </w:pPr>
            <w:r/>
            <w:r>
              <w:rPr>
                <w:sz w:val="18"/>
              </w:rPr>
              <w:t>1</w:t>
            </w:r>
          </w:p>
        </w:tc>
        <w:tc>
          <w:tcPr>
            <w:tcW w:type="dxa" w:w="1134"/>
          </w:tcPr>
          <w:p>
            <w:pPr>
              <w:jc w:val="right"/>
            </w:pPr>
            <w:r/>
            <w:r>
              <w:rPr>
                <w:sz w:val="18"/>
              </w:rPr>
              <w:t>26</w:t>
            </w:r>
          </w:p>
        </w:tc>
        <w:tc>
          <w:tcPr>
            <w:tcW w:type="dxa" w:w="1474"/>
          </w:tcPr>
          <w:p>
            <w:pPr>
              <w:jc w:val="right"/>
            </w:pPr>
            <w:r/>
            <w:r>
              <w:rPr>
                <w:sz w:val="18"/>
              </w:rPr>
              <w:t>6.324</w:t>
            </w:r>
          </w:p>
        </w:tc>
      </w:tr>
      <w:tr>
        <w:tc>
          <w:tcPr>
            <w:tcW w:type="dxa" w:w="3061"/>
          </w:tcPr>
          <w:p>
            <w:r/>
            <w:r>
              <w:rPr>
                <w:sz w:val="18"/>
              </w:rPr>
              <w:t>Auditoría y trazabilidad</w:t>
            </w:r>
          </w:p>
        </w:tc>
        <w:tc>
          <w:tcPr>
            <w:tcW w:type="dxa" w:w="2608"/>
          </w:tcPr>
          <w:p>
            <w:r/>
            <w:r>
              <w:rPr>
                <w:sz w:val="18"/>
              </w:rPr>
              <w:t>audit</w:t>
            </w:r>
          </w:p>
        </w:tc>
        <w:tc>
          <w:tcPr>
            <w:tcW w:type="dxa" w:w="1020"/>
          </w:tcPr>
          <w:p>
            <w:pPr>
              <w:jc w:val="right"/>
            </w:pPr>
            <w:r/>
            <w:r>
              <w:rPr>
                <w:sz w:val="18"/>
              </w:rPr>
              <w:t>1</w:t>
            </w:r>
          </w:p>
        </w:tc>
        <w:tc>
          <w:tcPr>
            <w:tcW w:type="dxa" w:w="1134"/>
          </w:tcPr>
          <w:p>
            <w:pPr>
              <w:jc w:val="right"/>
            </w:pPr>
            <w:r/>
            <w:r>
              <w:rPr>
                <w:sz w:val="18"/>
              </w:rPr>
              <w:t>34</w:t>
            </w:r>
          </w:p>
        </w:tc>
        <w:tc>
          <w:tcPr>
            <w:tcW w:type="dxa" w:w="1474"/>
          </w:tcPr>
          <w:p>
            <w:pPr>
              <w:jc w:val="right"/>
            </w:pPr>
            <w:r/>
            <w:r>
              <w:rPr>
                <w:sz w:val="18"/>
              </w:rPr>
              <w:t>74.668</w:t>
            </w:r>
          </w:p>
        </w:tc>
      </w:tr>
      <w:tr>
        <w:tc>
          <w:tcPr>
            <w:tcW w:type="dxa" w:w="3061"/>
          </w:tcPr>
          <w:p>
            <w:r/>
            <w:r>
              <w:rPr>
                <w:sz w:val="18"/>
              </w:rPr>
              <w:t>Esquema público</w:t>
            </w:r>
          </w:p>
        </w:tc>
        <w:tc>
          <w:tcPr>
            <w:tcW w:type="dxa" w:w="2608"/>
          </w:tcPr>
          <w:p>
            <w:r/>
            <w:r>
              <w:rPr>
                <w:sz w:val="18"/>
              </w:rPr>
              <w:t>public</w:t>
            </w:r>
          </w:p>
        </w:tc>
        <w:tc>
          <w:tcPr>
            <w:tcW w:type="dxa" w:w="1020"/>
          </w:tcPr>
          <w:p>
            <w:pPr>
              <w:jc w:val="right"/>
            </w:pPr>
            <w:r/>
            <w:r>
              <w:rPr>
                <w:sz w:val="18"/>
              </w:rPr>
              <w:t>3</w:t>
            </w:r>
          </w:p>
        </w:tc>
        <w:tc>
          <w:tcPr>
            <w:tcW w:type="dxa" w:w="1134"/>
          </w:tcPr>
          <w:p>
            <w:pPr>
              <w:jc w:val="right"/>
            </w:pPr>
            <w:r/>
            <w:r>
              <w:rPr>
                <w:sz w:val="18"/>
              </w:rPr>
              <w:t>21</w:t>
            </w:r>
          </w:p>
        </w:tc>
        <w:tc>
          <w:tcPr>
            <w:tcW w:type="dxa" w:w="1474"/>
          </w:tcPr>
          <w:p>
            <w:pPr>
              <w:jc w:val="right"/>
            </w:pPr>
            <w:r/>
            <w:r>
              <w:rPr>
                <w:sz w:val="18"/>
              </w:rPr>
              <w:t>12</w:t>
            </w:r>
          </w:p>
        </w:tc>
      </w:tr>
      <w:tr>
        <w:tc>
          <w:tcPr>
            <w:tcW w:type="dxa" w:w="3061"/>
          </w:tcPr>
          <w:p>
            <w:r/>
            <w:r>
              <w:rPr>
                <w:sz w:val="18"/>
              </w:rPr>
              <w:t>Programación académica</w:t>
            </w:r>
          </w:p>
        </w:tc>
        <w:tc>
          <w:tcPr>
            <w:tcW w:type="dxa" w:w="2608"/>
          </w:tcPr>
          <w:p>
            <w:r/>
            <w:r>
              <w:rPr>
                <w:sz w:val="18"/>
              </w:rPr>
              <w:t>academic-schedule</w:t>
            </w:r>
          </w:p>
        </w:tc>
        <w:tc>
          <w:tcPr>
            <w:tcW w:type="dxa" w:w="1020"/>
          </w:tcPr>
          <w:p>
            <w:pPr>
              <w:jc w:val="right"/>
            </w:pPr>
            <w:r/>
            <w:r>
              <w:rPr>
                <w:sz w:val="18"/>
              </w:rPr>
              <w:t>14</w:t>
            </w:r>
          </w:p>
        </w:tc>
        <w:tc>
          <w:tcPr>
            <w:tcW w:type="dxa" w:w="1134"/>
          </w:tcPr>
          <w:p>
            <w:pPr>
              <w:jc w:val="right"/>
            </w:pPr>
            <w:r/>
            <w:r>
              <w:rPr>
                <w:sz w:val="18"/>
              </w:rPr>
              <w:t>147</w:t>
            </w:r>
          </w:p>
        </w:tc>
        <w:tc>
          <w:tcPr>
            <w:tcW w:type="dxa" w:w="1474"/>
          </w:tcPr>
          <w:p>
            <w:pPr>
              <w:jc w:val="right"/>
            </w:pPr>
            <w:r/>
            <w:r>
              <w:rPr>
                <w:sz w:val="18"/>
              </w:rPr>
              <w:t>666</w:t>
            </w:r>
          </w:p>
        </w:tc>
      </w:tr>
      <w:tr>
        <w:tc>
          <w:tcPr>
            <w:tcW w:type="dxa" w:w="3061"/>
          </w:tcPr>
          <w:p>
            <w:r/>
            <w:r>
              <w:rPr>
                <w:sz w:val="18"/>
              </w:rPr>
              <w:t>Contratación</w:t>
            </w:r>
          </w:p>
        </w:tc>
        <w:tc>
          <w:tcPr>
            <w:tcW w:type="dxa" w:w="2608"/>
          </w:tcPr>
          <w:p>
            <w:r/>
            <w:r>
              <w:rPr>
                <w:sz w:val="18"/>
              </w:rPr>
              <w:t>hiring</w:t>
            </w:r>
          </w:p>
        </w:tc>
        <w:tc>
          <w:tcPr>
            <w:tcW w:type="dxa" w:w="1020"/>
          </w:tcPr>
          <w:p>
            <w:pPr>
              <w:jc w:val="right"/>
            </w:pPr>
            <w:r/>
            <w:r>
              <w:rPr>
                <w:sz w:val="18"/>
              </w:rPr>
              <w:t>84</w:t>
            </w:r>
          </w:p>
        </w:tc>
        <w:tc>
          <w:tcPr>
            <w:tcW w:type="dxa" w:w="1134"/>
          </w:tcPr>
          <w:p>
            <w:pPr>
              <w:jc w:val="right"/>
            </w:pPr>
            <w:r/>
            <w:r>
              <w:rPr>
                <w:sz w:val="18"/>
              </w:rPr>
              <w:t>952</w:t>
            </w:r>
          </w:p>
        </w:tc>
        <w:tc>
          <w:tcPr>
            <w:tcW w:type="dxa" w:w="1474"/>
          </w:tcPr>
          <w:p>
            <w:pPr>
              <w:jc w:val="right"/>
            </w:pPr>
            <w:r/>
            <w:r>
              <w:rPr>
                <w:sz w:val="18"/>
              </w:rPr>
              <w:t>1.961</w:t>
            </w:r>
          </w:p>
        </w:tc>
      </w:tr>
      <w:tr>
        <w:tc>
          <w:tcPr>
            <w:tcW w:type="dxa" w:w="3061"/>
          </w:tcPr>
          <w:p>
            <w:r/>
            <w:r>
              <w:rPr>
                <w:sz w:val="18"/>
              </w:rPr>
              <w:t>Viáticos y gastos de viaje</w:t>
            </w:r>
          </w:p>
        </w:tc>
        <w:tc>
          <w:tcPr>
            <w:tcW w:type="dxa" w:w="2608"/>
          </w:tcPr>
          <w:p>
            <w:r/>
            <w:r>
              <w:rPr>
                <w:sz w:val="18"/>
              </w:rPr>
              <w:t>travel_expenses</w:t>
            </w:r>
          </w:p>
        </w:tc>
        <w:tc>
          <w:tcPr>
            <w:tcW w:type="dxa" w:w="1020"/>
          </w:tcPr>
          <w:p>
            <w:pPr>
              <w:jc w:val="right"/>
            </w:pPr>
            <w:r/>
            <w:r>
              <w:rPr>
                <w:sz w:val="18"/>
              </w:rPr>
              <w:t>30</w:t>
            </w:r>
          </w:p>
        </w:tc>
        <w:tc>
          <w:tcPr>
            <w:tcW w:type="dxa" w:w="1134"/>
          </w:tcPr>
          <w:p>
            <w:pPr>
              <w:jc w:val="right"/>
            </w:pPr>
            <w:r/>
            <w:r>
              <w:rPr>
                <w:sz w:val="18"/>
              </w:rPr>
              <w:t>402</w:t>
            </w:r>
          </w:p>
        </w:tc>
        <w:tc>
          <w:tcPr>
            <w:tcW w:type="dxa" w:w="1474"/>
          </w:tcPr>
          <w:p>
            <w:pPr>
              <w:jc w:val="right"/>
            </w:pPr>
            <w:r/>
            <w:r>
              <w:rPr>
                <w:sz w:val="18"/>
              </w:rPr>
              <w:t>208</w:t>
            </w:r>
          </w:p>
        </w:tc>
      </w:tr>
      <w:tr>
        <w:tc>
          <w:tcPr>
            <w:tcW w:type="dxa" w:w="3061"/>
          </w:tcPr>
          <w:p>
            <w:r/>
            <w:r>
              <w:rPr>
                <w:sz w:val="18"/>
              </w:rPr>
              <w:t>Gestión de infraestructura</w:t>
            </w:r>
          </w:p>
        </w:tc>
        <w:tc>
          <w:tcPr>
            <w:tcW w:type="dxa" w:w="2608"/>
          </w:tcPr>
          <w:p>
            <w:r/>
            <w:r>
              <w:rPr>
                <w:sz w:val="18"/>
              </w:rPr>
              <w:t>infrastructure-management</w:t>
            </w:r>
          </w:p>
        </w:tc>
        <w:tc>
          <w:tcPr>
            <w:tcW w:type="dxa" w:w="1020"/>
          </w:tcPr>
          <w:p>
            <w:pPr>
              <w:jc w:val="right"/>
            </w:pPr>
            <w:r/>
            <w:r>
              <w:rPr>
                <w:sz w:val="18"/>
              </w:rPr>
              <w:t>8</w:t>
            </w:r>
          </w:p>
        </w:tc>
        <w:tc>
          <w:tcPr>
            <w:tcW w:type="dxa" w:w="1134"/>
          </w:tcPr>
          <w:p>
            <w:pPr>
              <w:jc w:val="right"/>
            </w:pPr>
            <w:r/>
            <w:r>
              <w:rPr>
                <w:sz w:val="18"/>
              </w:rPr>
              <w:t>143</w:t>
            </w:r>
          </w:p>
        </w:tc>
        <w:tc>
          <w:tcPr>
            <w:tcW w:type="dxa" w:w="1474"/>
          </w:tcPr>
          <w:p>
            <w:pPr>
              <w:jc w:val="right"/>
            </w:pPr>
            <w:r/>
            <w:r>
              <w:rPr>
                <w:sz w:val="18"/>
              </w:rPr>
              <w:t>162</w:t>
            </w:r>
          </w:p>
        </w:tc>
      </w:tr>
      <w:tr>
        <w:tc>
          <w:tcPr>
            <w:tcW w:type="dxa" w:w="3061"/>
          </w:tcPr>
          <w:p>
            <w:r/>
            <w:r>
              <w:rPr>
                <w:sz w:val="18"/>
              </w:rPr>
              <w:t>Asistente virtual (chatbot)</w:t>
            </w:r>
          </w:p>
        </w:tc>
        <w:tc>
          <w:tcPr>
            <w:tcW w:type="dxa" w:w="2608"/>
          </w:tcPr>
          <w:p>
            <w:r/>
            <w:r>
              <w:rPr>
                <w:sz w:val="18"/>
              </w:rPr>
              <w:t>chatbot</w:t>
            </w:r>
          </w:p>
        </w:tc>
        <w:tc>
          <w:tcPr>
            <w:tcW w:type="dxa" w:w="1020"/>
          </w:tcPr>
          <w:p>
            <w:pPr>
              <w:jc w:val="right"/>
            </w:pPr>
            <w:r/>
            <w:r>
              <w:rPr>
                <w:sz w:val="18"/>
              </w:rPr>
              <w:t>3</w:t>
            </w:r>
          </w:p>
        </w:tc>
        <w:tc>
          <w:tcPr>
            <w:tcW w:type="dxa" w:w="1134"/>
          </w:tcPr>
          <w:p>
            <w:pPr>
              <w:jc w:val="right"/>
            </w:pPr>
            <w:r/>
            <w:r>
              <w:rPr>
                <w:sz w:val="18"/>
              </w:rPr>
              <w:t>25</w:t>
            </w:r>
          </w:p>
        </w:tc>
        <w:tc>
          <w:tcPr>
            <w:tcW w:type="dxa" w:w="1474"/>
          </w:tcPr>
          <w:p>
            <w:pPr>
              <w:jc w:val="right"/>
            </w:pPr>
            <w:r/>
            <w:r>
              <w:rPr>
                <w:sz w:val="18"/>
              </w:rPr>
              <w:t>0</w:t>
            </w:r>
          </w:p>
        </w:tc>
      </w:tr>
    </w:tbl>
    <w:p/>
    <w:p>
      <w:pPr>
        <w:pStyle w:val="Heading1"/>
      </w:pPr>
      <w:r>
        <w:t>4. Contenido del modelo</w:t>
      </w:r>
    </w:p>
    <w:tbl>
      <w:tblPr>
        <w:tblStyle w:val="TableGrid"/>
        <w:tblW w:type="auto" w:w="0"/>
        <w:jc w:val="center"/>
        <w:tblLayout w:type="fixed"/>
        <w:tblLook w:firstColumn="1" w:firstRow="1" w:lastColumn="0" w:lastRow="0" w:noHBand="0" w:noVBand="1" w:val="04A0"/>
      </w:tblPr>
      <w:tblGrid>
        <w:gridCol w:w="3211"/>
        <w:gridCol w:w="3211"/>
        <w:gridCol w:w="3211"/>
      </w:tblGrid>
      <w:tr>
        <w:tc>
          <w:tcPr>
            <w:tcW w:type="dxa" w:w="4252"/>
            <w:shd w:val="clear" w:color="auto" w:fill="0B3D91"/>
          </w:tcPr>
          <w:p>
            <w:r/>
            <w:r>
              <w:rPr>
                <w:b/>
                <w:color w:val="FFFFFF"/>
                <w:sz w:val="18"/>
              </w:rPr>
              <w:t>Componente</w:t>
            </w:r>
          </w:p>
        </w:tc>
        <w:tc>
          <w:tcPr>
            <w:tcW w:type="dxa" w:w="1587"/>
            <w:shd w:val="clear" w:color="auto" w:fill="0B3D91"/>
          </w:tcPr>
          <w:p>
            <w:r/>
            <w:r>
              <w:rPr>
                <w:b/>
                <w:color w:val="FFFFFF"/>
                <w:sz w:val="18"/>
              </w:rPr>
              <w:t>Cantidad</w:t>
            </w:r>
          </w:p>
        </w:tc>
        <w:tc>
          <w:tcPr>
            <w:tcW w:type="dxa" w:w="3231"/>
            <w:shd w:val="clear" w:color="auto" w:fill="0B3D91"/>
          </w:tcPr>
          <w:p>
            <w:r/>
            <w:r>
              <w:rPr>
                <w:b/>
                <w:color w:val="FFFFFF"/>
                <w:sz w:val="18"/>
              </w:rPr>
              <w:t>Dónde se consulta</w:t>
            </w:r>
          </w:p>
        </w:tc>
      </w:tr>
      <w:tr>
        <w:tc>
          <w:tcPr>
            <w:tcW w:type="dxa" w:w="4252"/>
          </w:tcPr>
          <w:p>
            <w:r/>
            <w:r>
              <w:rPr>
                <w:sz w:val="18"/>
              </w:rPr>
              <w:t>Relaciones declaradas (llaves foráneas)</w:t>
            </w:r>
          </w:p>
        </w:tc>
        <w:tc>
          <w:tcPr>
            <w:tcW w:type="dxa" w:w="1587"/>
          </w:tcPr>
          <w:p>
            <w:pPr>
              <w:jc w:val="right"/>
            </w:pPr>
            <w:r/>
            <w:r>
              <w:rPr>
                <w:sz w:val="18"/>
              </w:rPr>
              <w:t>424</w:t>
            </w:r>
          </w:p>
        </w:tc>
        <w:tc>
          <w:tcPr>
            <w:tcW w:type="dxa" w:w="3231"/>
          </w:tcPr>
          <w:p>
            <w:r/>
            <w:r>
              <w:rPr>
                <w:sz w:val="18"/>
              </w:rPr>
              <w:t>Portal › Relaciones y Modelo ER</w:t>
            </w:r>
          </w:p>
        </w:tc>
      </w:tr>
      <w:tr>
        <w:tc>
          <w:tcPr>
            <w:tcW w:type="dxa" w:w="4252"/>
          </w:tcPr>
          <w:p>
            <w:r/>
            <w:r>
              <w:rPr>
                <w:sz w:val="18"/>
              </w:rPr>
              <w:t>Relaciones lógicas sin FK, confirmadas con los datos</w:t>
            </w:r>
          </w:p>
        </w:tc>
        <w:tc>
          <w:tcPr>
            <w:tcW w:type="dxa" w:w="1587"/>
          </w:tcPr>
          <w:p>
            <w:pPr>
              <w:jc w:val="right"/>
            </w:pPr>
            <w:r/>
            <w:r>
              <w:rPr>
                <w:sz w:val="18"/>
              </w:rPr>
              <w:t>8</w:t>
            </w:r>
          </w:p>
        </w:tc>
        <w:tc>
          <w:tcPr>
            <w:tcW w:type="dxa" w:w="3231"/>
          </w:tcPr>
          <w:p>
            <w:r/>
            <w:r>
              <w:rPr>
                <w:sz w:val="18"/>
              </w:rPr>
              <w:t>Portal › Relaciones</w:t>
            </w:r>
          </w:p>
        </w:tc>
      </w:tr>
      <w:tr>
        <w:tc>
          <w:tcPr>
            <w:tcW w:type="dxa" w:w="4252"/>
          </w:tcPr>
          <w:p>
            <w:r/>
            <w:r>
              <w:rPr>
                <w:sz w:val="18"/>
              </w:rPr>
              <w:t>Funciones y procedimientos</w:t>
            </w:r>
          </w:p>
        </w:tc>
        <w:tc>
          <w:tcPr>
            <w:tcW w:type="dxa" w:w="1587"/>
          </w:tcPr>
          <w:p>
            <w:pPr>
              <w:jc w:val="right"/>
            </w:pPr>
            <w:r/>
            <w:r>
              <w:rPr>
                <w:sz w:val="18"/>
              </w:rPr>
              <w:t>66</w:t>
            </w:r>
          </w:p>
        </w:tc>
        <w:tc>
          <w:tcPr>
            <w:tcW w:type="dxa" w:w="3231"/>
          </w:tcPr>
          <w:p>
            <w:r/>
            <w:r>
              <w:rPr>
                <w:sz w:val="18"/>
              </w:rPr>
              <w:t>Portal › Programables</w:t>
            </w:r>
          </w:p>
        </w:tc>
      </w:tr>
      <w:tr>
        <w:tc>
          <w:tcPr>
            <w:tcW w:type="dxa" w:w="4252"/>
          </w:tcPr>
          <w:p>
            <w:r/>
            <w:r>
              <w:rPr>
                <w:sz w:val="18"/>
              </w:rPr>
              <w:t>Triggers</w:t>
            </w:r>
          </w:p>
        </w:tc>
        <w:tc>
          <w:tcPr>
            <w:tcW w:type="dxa" w:w="1587"/>
          </w:tcPr>
          <w:p>
            <w:pPr>
              <w:jc w:val="right"/>
            </w:pPr>
            <w:r/>
            <w:r>
              <w:rPr>
                <w:sz w:val="18"/>
              </w:rPr>
              <w:t>69</w:t>
            </w:r>
          </w:p>
        </w:tc>
        <w:tc>
          <w:tcPr>
            <w:tcW w:type="dxa" w:w="3231"/>
          </w:tcPr>
          <w:p>
            <w:r/>
            <w:r>
              <w:rPr>
                <w:sz w:val="18"/>
              </w:rPr>
              <w:t>Portal › Programables</w:t>
            </w:r>
          </w:p>
        </w:tc>
      </w:tr>
      <w:tr>
        <w:tc>
          <w:tcPr>
            <w:tcW w:type="dxa" w:w="4252"/>
          </w:tcPr>
          <w:p>
            <w:r/>
            <w:r>
              <w:rPr>
                <w:sz w:val="18"/>
              </w:rPr>
              <w:t>Vistas</w:t>
            </w:r>
          </w:p>
        </w:tc>
        <w:tc>
          <w:tcPr>
            <w:tcW w:type="dxa" w:w="1587"/>
          </w:tcPr>
          <w:p>
            <w:pPr>
              <w:jc w:val="right"/>
            </w:pPr>
            <w:r/>
            <w:r>
              <w:rPr>
                <w:sz w:val="18"/>
              </w:rPr>
              <w:t>8</w:t>
            </w:r>
          </w:p>
        </w:tc>
        <w:tc>
          <w:tcPr>
            <w:tcW w:type="dxa" w:w="3231"/>
          </w:tcPr>
          <w:p>
            <w:r/>
            <w:r>
              <w:rPr>
                <w:sz w:val="18"/>
              </w:rPr>
              <w:t>Portal › Programables y Catálogo</w:t>
            </w:r>
          </w:p>
        </w:tc>
      </w:tr>
      <w:tr>
        <w:tc>
          <w:tcPr>
            <w:tcW w:type="dxa" w:w="4252"/>
          </w:tcPr>
          <w:p>
            <w:r/>
            <w:r>
              <w:rPr>
                <w:sz w:val="18"/>
              </w:rPr>
              <w:t>Tipos enumerados</w:t>
            </w:r>
          </w:p>
        </w:tc>
        <w:tc>
          <w:tcPr>
            <w:tcW w:type="dxa" w:w="1587"/>
          </w:tcPr>
          <w:p>
            <w:pPr>
              <w:jc w:val="right"/>
            </w:pPr>
            <w:r/>
            <w:r>
              <w:rPr>
                <w:sz w:val="18"/>
              </w:rPr>
              <w:t>18</w:t>
            </w:r>
          </w:p>
        </w:tc>
        <w:tc>
          <w:tcPr>
            <w:tcW w:type="dxa" w:w="3231"/>
          </w:tcPr>
          <w:p>
            <w:r/>
            <w:r>
              <w:rPr>
                <w:sz w:val="18"/>
              </w:rPr>
              <w:t>Portal › Programables</w:t>
            </w:r>
          </w:p>
        </w:tc>
      </w:tr>
      <w:tr>
        <w:tc>
          <w:tcPr>
            <w:tcW w:type="dxa" w:w="4252"/>
          </w:tcPr>
          <w:p>
            <w:r/>
            <w:r>
              <w:rPr>
                <w:sz w:val="18"/>
              </w:rPr>
              <w:t>Tablas con descripción registrada en la base</w:t>
            </w:r>
          </w:p>
        </w:tc>
        <w:tc>
          <w:tcPr>
            <w:tcW w:type="dxa" w:w="1587"/>
          </w:tcPr>
          <w:p>
            <w:pPr>
              <w:jc w:val="right"/>
            </w:pPr>
            <w:r/>
            <w:r>
              <w:rPr>
                <w:sz w:val="18"/>
              </w:rPr>
              <w:t>224 de 418</w:t>
            </w:r>
          </w:p>
        </w:tc>
        <w:tc>
          <w:tcPr>
            <w:tcW w:type="dxa" w:w="3231"/>
          </w:tcPr>
          <w:p>
            <w:r/>
            <w:r>
              <w:rPr>
                <w:sz w:val="18"/>
              </w:rPr>
              <w:t>Portal › Catálogo</w:t>
            </w:r>
          </w:p>
        </w:tc>
      </w:tr>
      <w:tr>
        <w:tc>
          <w:tcPr>
            <w:tcW w:type="dxa" w:w="4252"/>
          </w:tcPr>
          <w:p>
            <w:r/>
            <w:r>
              <w:rPr>
                <w:sz w:val="18"/>
              </w:rPr>
              <w:t>Columnas con descripción registrada en la base</w:t>
            </w:r>
          </w:p>
        </w:tc>
        <w:tc>
          <w:tcPr>
            <w:tcW w:type="dxa" w:w="1587"/>
          </w:tcPr>
          <w:p>
            <w:pPr>
              <w:jc w:val="right"/>
            </w:pPr>
            <w:r/>
            <w:r>
              <w:rPr>
                <w:sz w:val="18"/>
              </w:rPr>
              <w:t>604 de 5.700</w:t>
            </w:r>
          </w:p>
        </w:tc>
        <w:tc>
          <w:tcPr>
            <w:tcW w:type="dxa" w:w="3231"/>
          </w:tcPr>
          <w:p>
            <w:r/>
            <w:r>
              <w:rPr>
                <w:sz w:val="18"/>
              </w:rPr>
              <w:t>Portal › Catálogo</w:t>
            </w:r>
          </w:p>
        </w:tc>
      </w:tr>
    </w:tbl>
    <w:p/>
    <w:p>
      <w:r>
        <w:t>Las relaciones se documentan con su multiplicidad UML (por ejemplo, 0..* → 1), medida con los datos del entorno. El modelo entidad-relación se presenta por dominio y muestra también las relaciones con tablas de otros dominios.</w:t>
      </w:r>
    </w:p>
    <w:p>
      <w:pPr>
        <w:pStyle w:val="Heading1"/>
      </w:pPr>
      <w:r>
        <w:t>5. Datos personales</w:t>
      </w:r>
    </w:p>
    <w:p>
      <w:r>
        <w:t>El portal identifica 127 columnas que, por su nombre, contienen datos personales, clasificadas según las categorías de la Ley 1581 de 2012. La clasificación se hace por nombre de columna, sin revisar valores, y sirve de insumo para el responsable del tratamiento de datos.</w:t>
      </w:r>
    </w:p>
    <w:tbl>
      <w:tblPr>
        <w:tblStyle w:val="TableGrid"/>
        <w:tblW w:type="auto" w:w="0"/>
        <w:jc w:val="center"/>
        <w:tblLayout w:type="fixed"/>
        <w:tblLook w:firstColumn="1" w:firstRow="1" w:lastColumn="0" w:lastRow="0" w:noHBand="0" w:noVBand="1" w:val="04A0"/>
      </w:tblPr>
      <w:tblGrid>
        <w:gridCol w:w="4816"/>
        <w:gridCol w:w="4816"/>
      </w:tblGrid>
      <w:tr>
        <w:tc>
          <w:tcPr>
            <w:tcW w:type="dxa" w:w="4535"/>
            <w:shd w:val="clear" w:color="auto" w:fill="0B3D91"/>
          </w:tcPr>
          <w:p>
            <w:r/>
            <w:r>
              <w:rPr>
                <w:b/>
                <w:color w:val="FFFFFF"/>
                <w:sz w:val="18"/>
              </w:rPr>
              <w:t>Categoría</w:t>
            </w:r>
          </w:p>
        </w:tc>
        <w:tc>
          <w:tcPr>
            <w:tcW w:type="dxa" w:w="1701"/>
            <w:shd w:val="clear" w:color="auto" w:fill="0B3D91"/>
          </w:tcPr>
          <w:p>
            <w:r/>
            <w:r>
              <w:rPr>
                <w:b/>
                <w:color w:val="FFFFFF"/>
                <w:sz w:val="18"/>
              </w:rPr>
              <w:t>Columnas</w:t>
            </w:r>
          </w:p>
        </w:tc>
      </w:tr>
      <w:tr>
        <w:tc>
          <w:tcPr>
            <w:tcW w:type="dxa" w:w="4535"/>
          </w:tcPr>
          <w:p>
            <w:r/>
            <w:r>
              <w:rPr>
                <w:sz w:val="18"/>
              </w:rPr>
              <w:t>Contacto</w:t>
            </w:r>
          </w:p>
        </w:tc>
        <w:tc>
          <w:tcPr>
            <w:tcW w:type="dxa" w:w="1701"/>
          </w:tcPr>
          <w:p>
            <w:pPr>
              <w:jc w:val="right"/>
            </w:pPr>
            <w:r/>
            <w:r>
              <w:rPr>
                <w:sz w:val="18"/>
              </w:rPr>
              <w:t>61</w:t>
            </w:r>
          </w:p>
        </w:tc>
      </w:tr>
      <w:tr>
        <w:tc>
          <w:tcPr>
            <w:tcW w:type="dxa" w:w="4535"/>
          </w:tcPr>
          <w:p>
            <w:r/>
            <w:r>
              <w:rPr>
                <w:sz w:val="18"/>
              </w:rPr>
              <w:t>Nombre de persona</w:t>
            </w:r>
          </w:p>
        </w:tc>
        <w:tc>
          <w:tcPr>
            <w:tcW w:type="dxa" w:w="1701"/>
          </w:tcPr>
          <w:p>
            <w:pPr>
              <w:jc w:val="right"/>
            </w:pPr>
            <w:r/>
            <w:r>
              <w:rPr>
                <w:sz w:val="18"/>
              </w:rPr>
              <w:t>27</w:t>
            </w:r>
          </w:p>
        </w:tc>
      </w:tr>
      <w:tr>
        <w:tc>
          <w:tcPr>
            <w:tcW w:type="dxa" w:w="4535"/>
          </w:tcPr>
          <w:p>
            <w:r/>
            <w:r>
              <w:rPr>
                <w:sz w:val="18"/>
              </w:rPr>
              <w:t>Identificador en línea (IP)</w:t>
            </w:r>
          </w:p>
        </w:tc>
        <w:tc>
          <w:tcPr>
            <w:tcW w:type="dxa" w:w="1701"/>
          </w:tcPr>
          <w:p>
            <w:pPr>
              <w:jc w:val="right"/>
            </w:pPr>
            <w:r/>
            <w:r>
              <w:rPr>
                <w:sz w:val="18"/>
              </w:rPr>
              <w:t>17</w:t>
            </w:r>
          </w:p>
        </w:tc>
      </w:tr>
      <w:tr>
        <w:tc>
          <w:tcPr>
            <w:tcW w:type="dxa" w:w="4535"/>
          </w:tcPr>
          <w:p>
            <w:r/>
            <w:r>
              <w:rPr>
                <w:sz w:val="18"/>
              </w:rPr>
              <w:t>Credencial de acceso</w:t>
            </w:r>
          </w:p>
        </w:tc>
        <w:tc>
          <w:tcPr>
            <w:tcW w:type="dxa" w:w="1701"/>
          </w:tcPr>
          <w:p>
            <w:pPr>
              <w:jc w:val="right"/>
            </w:pPr>
            <w:r/>
            <w:r>
              <w:rPr>
                <w:sz w:val="18"/>
              </w:rPr>
              <w:t>10</w:t>
            </w:r>
          </w:p>
        </w:tc>
      </w:tr>
      <w:tr>
        <w:tc>
          <w:tcPr>
            <w:tcW w:type="dxa" w:w="4535"/>
          </w:tcPr>
          <w:p>
            <w:r/>
            <w:r>
              <w:rPr>
                <w:sz w:val="18"/>
              </w:rPr>
              <w:t>Identificación</w:t>
            </w:r>
          </w:p>
        </w:tc>
        <w:tc>
          <w:tcPr>
            <w:tcW w:type="dxa" w:w="1701"/>
          </w:tcPr>
          <w:p>
            <w:pPr>
              <w:jc w:val="right"/>
            </w:pPr>
            <w:r/>
            <w:r>
              <w:rPr>
                <w:sz w:val="18"/>
              </w:rPr>
              <w:t>9</w:t>
            </w:r>
          </w:p>
        </w:tc>
      </w:tr>
      <w:tr>
        <w:tc>
          <w:tcPr>
            <w:tcW w:type="dxa" w:w="4535"/>
          </w:tcPr>
          <w:p>
            <w:r/>
            <w:r>
              <w:rPr>
                <w:sz w:val="18"/>
              </w:rPr>
              <w:t>Dato personal</w:t>
            </w:r>
          </w:p>
        </w:tc>
        <w:tc>
          <w:tcPr>
            <w:tcW w:type="dxa" w:w="1701"/>
          </w:tcPr>
          <w:p>
            <w:pPr>
              <w:jc w:val="right"/>
            </w:pPr>
            <w:r/>
            <w:r>
              <w:rPr>
                <w:sz w:val="18"/>
              </w:rPr>
              <w:t>3</w:t>
            </w:r>
          </w:p>
        </w:tc>
      </w:tr>
    </w:tbl>
    <w:p/>
    <w:p>
      <w:pPr>
        <w:pStyle w:val="Heading1"/>
      </w:pPr>
      <w:r>
        <w:t>6. Dónde consultar el detalle</w:t>
      </w:r>
    </w:p>
    <w:p>
      <w:r>
        <w:t xml:space="preserve">Portal de Datos ESAP v1.0: </w:t>
      </w:r>
      <w:r>
        <w:t>portal/Portal_de_Datos_ESAP_v1.0.html. Es un archivo HTML autónomo que se abre en cualquier navegador, sin conexión.</w:t>
      </w:r>
    </w:p>
    <w:tbl>
      <w:tblPr>
        <w:tblStyle w:val="TableGrid"/>
        <w:tblW w:type="auto" w:w="0"/>
        <w:jc w:val="center"/>
        <w:tblLayout w:type="fixed"/>
        <w:tblLook w:firstColumn="1" w:firstRow="1" w:lastColumn="0" w:lastRow="0" w:noHBand="0" w:noVBand="1" w:val="04A0"/>
      </w:tblPr>
      <w:tblGrid>
        <w:gridCol w:w="3211"/>
        <w:gridCol w:w="3211"/>
        <w:gridCol w:w="3211"/>
      </w:tblGrid>
      <w:tr>
        <w:tc>
          <w:tcPr>
            <w:tcW w:type="dxa" w:w="1871"/>
            <w:shd w:val="clear" w:color="auto" w:fill="0B3D91"/>
          </w:tcPr>
          <w:p>
            <w:r/>
            <w:r>
              <w:rPr>
                <w:b/>
                <w:color w:val="FFFFFF"/>
                <w:sz w:val="18"/>
              </w:rPr>
              <w:t>Sección del portal</w:t>
            </w:r>
          </w:p>
        </w:tc>
        <w:tc>
          <w:tcPr>
            <w:tcW w:type="dxa" w:w="5499"/>
            <w:shd w:val="clear" w:color="auto" w:fill="0B3D91"/>
          </w:tcPr>
          <w:p>
            <w:r/>
            <w:r>
              <w:rPr>
                <w:b/>
                <w:color w:val="FFFFFF"/>
                <w:sz w:val="18"/>
              </w:rPr>
              <w:t>Contenido</w:t>
            </w:r>
          </w:p>
        </w:tc>
        <w:tc>
          <w:tcPr>
            <w:tcW w:type="dxa" w:w="1701"/>
            <w:shd w:val="clear" w:color="auto" w:fill="0B3D91"/>
          </w:tcPr>
          <w:p>
            <w:r/>
            <w:r>
              <w:rPr>
                <w:b/>
                <w:color w:val="FFFFFF"/>
                <w:sz w:val="18"/>
              </w:rPr>
              <w:t>Enlace</w:t>
            </w:r>
          </w:p>
        </w:tc>
      </w:tr>
      <w:tr>
        <w:tc>
          <w:tcPr>
            <w:tcW w:type="dxa" w:w="1871"/>
          </w:tcPr>
          <w:p>
            <w:r/>
            <w:r>
              <w:rPr>
                <w:sz w:val="18"/>
              </w:rPr>
              <w:t>Dominios</w:t>
            </w:r>
          </w:p>
        </w:tc>
        <w:tc>
          <w:tcPr>
            <w:tcW w:type="dxa" w:w="5499"/>
          </w:tcPr>
          <w:p>
            <w:r/>
            <w:r>
              <w:rPr>
                <w:sz w:val="18"/>
              </w:rPr>
              <w:t>Esquemas con su descripción y sus cifras</w:t>
            </w:r>
          </w:p>
        </w:tc>
        <w:tc>
          <w:tcPr>
            <w:tcW w:type="dxa" w:w="1701"/>
          </w:tcPr>
          <w:p>
            <w:r/>
            <w:r>
              <w:rPr>
                <w:sz w:val="18"/>
              </w:rPr>
              <w:t>#dominios</w:t>
            </w:r>
          </w:p>
        </w:tc>
      </w:tr>
      <w:tr>
        <w:tc>
          <w:tcPr>
            <w:tcW w:type="dxa" w:w="1871"/>
          </w:tcPr>
          <w:p>
            <w:r/>
            <w:r>
              <w:rPr>
                <w:sz w:val="18"/>
              </w:rPr>
              <w:t>Catálogo</w:t>
            </w:r>
          </w:p>
        </w:tc>
        <w:tc>
          <w:tcPr>
            <w:tcW w:type="dxa" w:w="5499"/>
          </w:tcPr>
          <w:p>
            <w:r/>
            <w:r>
              <w:rPr>
                <w:sz w:val="18"/>
              </w:rPr>
              <w:t>Buscador de tablas y columnas, y ficha de cada tabla con columnas, claves, relaciones, índices y uso</w:t>
            </w:r>
          </w:p>
        </w:tc>
        <w:tc>
          <w:tcPr>
            <w:tcW w:type="dxa" w:w="1701"/>
          </w:tcPr>
          <w:p>
            <w:r/>
            <w:r>
              <w:rPr>
                <w:sz w:val="18"/>
              </w:rPr>
              <w:t>#catalogo</w:t>
            </w:r>
          </w:p>
        </w:tc>
      </w:tr>
      <w:tr>
        <w:tc>
          <w:tcPr>
            <w:tcW w:type="dxa" w:w="1871"/>
          </w:tcPr>
          <w:p>
            <w:r/>
            <w:r>
              <w:rPr>
                <w:sz w:val="18"/>
              </w:rPr>
              <w:t>Relaciones</w:t>
            </w:r>
          </w:p>
        </w:tc>
        <w:tc>
          <w:tcPr>
            <w:tcW w:type="dxa" w:w="5499"/>
          </w:tcPr>
          <w:p>
            <w:r/>
            <w:r>
              <w:rPr>
                <w:sz w:val="18"/>
              </w:rPr>
              <w:t>Llaves foráneas con multiplicidad UML y relaciones lógicas por nombre de columna</w:t>
            </w:r>
          </w:p>
        </w:tc>
        <w:tc>
          <w:tcPr>
            <w:tcW w:type="dxa" w:w="1701"/>
          </w:tcPr>
          <w:p>
            <w:r/>
            <w:r>
              <w:rPr>
                <w:sz w:val="18"/>
              </w:rPr>
              <w:t>#relaciones</w:t>
            </w:r>
          </w:p>
        </w:tc>
      </w:tr>
      <w:tr>
        <w:tc>
          <w:tcPr>
            <w:tcW w:type="dxa" w:w="1871"/>
          </w:tcPr>
          <w:p>
            <w:r/>
            <w:r>
              <w:rPr>
                <w:sz w:val="18"/>
              </w:rPr>
              <w:t>Modelo ER</w:t>
            </w:r>
          </w:p>
        </w:tc>
        <w:tc>
          <w:tcPr>
            <w:tcW w:type="dxa" w:w="5499"/>
          </w:tcPr>
          <w:p>
            <w:r/>
            <w:r>
              <w:rPr>
                <w:sz w:val="18"/>
              </w:rPr>
              <w:t>Diagrama entidad-relación por dominio</w:t>
            </w:r>
          </w:p>
        </w:tc>
        <w:tc>
          <w:tcPr>
            <w:tcW w:type="dxa" w:w="1701"/>
          </w:tcPr>
          <w:p>
            <w:r/>
            <w:r>
              <w:rPr>
                <w:sz w:val="18"/>
              </w:rPr>
              <w:t>#modelo</w:t>
            </w:r>
          </w:p>
        </w:tc>
      </w:tr>
      <w:tr>
        <w:tc>
          <w:tcPr>
            <w:tcW w:type="dxa" w:w="1871"/>
          </w:tcPr>
          <w:p>
            <w:r/>
            <w:r>
              <w:rPr>
                <w:sz w:val="18"/>
              </w:rPr>
              <w:t>Programables</w:t>
            </w:r>
          </w:p>
        </w:tc>
        <w:tc>
          <w:tcPr>
            <w:tcW w:type="dxa" w:w="5499"/>
          </w:tcPr>
          <w:p>
            <w:r/>
            <w:r>
              <w:rPr>
                <w:sz w:val="18"/>
              </w:rPr>
              <w:t>Funciones, procedimientos, triggers, vistas y tipos, con las tablas que usan</w:t>
            </w:r>
          </w:p>
        </w:tc>
        <w:tc>
          <w:tcPr>
            <w:tcW w:type="dxa" w:w="1701"/>
          </w:tcPr>
          <w:p>
            <w:r/>
            <w:r>
              <w:rPr>
                <w:sz w:val="18"/>
              </w:rPr>
              <w:t>#programables</w:t>
            </w:r>
          </w:p>
        </w:tc>
      </w:tr>
      <w:tr>
        <w:tc>
          <w:tcPr>
            <w:tcW w:type="dxa" w:w="1871"/>
          </w:tcPr>
          <w:p>
            <w:r/>
            <w:r>
              <w:rPr>
                <w:sz w:val="18"/>
              </w:rPr>
              <w:t>Datos personales</w:t>
            </w:r>
          </w:p>
        </w:tc>
        <w:tc>
          <w:tcPr>
            <w:tcW w:type="dxa" w:w="5499"/>
          </w:tcPr>
          <w:p>
            <w:r/>
            <w:r>
              <w:rPr>
                <w:sz w:val="18"/>
              </w:rPr>
              <w:t>Columnas clasificadas según la Ley 1581 de 2012</w:t>
            </w:r>
          </w:p>
        </w:tc>
        <w:tc>
          <w:tcPr>
            <w:tcW w:type="dxa" w:w="1701"/>
          </w:tcPr>
          <w:p>
            <w:r/>
            <w:r>
              <w:rPr>
                <w:sz w:val="18"/>
              </w:rPr>
              <w:t>#personales</w:t>
            </w:r>
          </w:p>
        </w:tc>
      </w:tr>
    </w:tbl>
    <w:p/>
    <w:p>
      <w:r>
        <w:t xml:space="preserve">Repositorio técnico: </w:t>
      </w:r>
      <w:hyperlink r:id="rId9">
        <w:r>
          <w:rPr>
            <w:color w:val="1F6FEB"/>
            <w:u w:val="single"/>
          </w:rPr>
          <w:t xml:space="preserve">https://github.com/aldairgonzalez-ops/esap-portal-datos</w:t>
        </w:r>
      </w:hyperlink>
    </w:p>
    <w:p>
      <w:pPr>
        <w:pStyle w:val="ListBullet"/>
      </w:pPr>
      <w:r>
        <w:rPr>
          <w:b/>
        </w:rPr>
        <w:t>docs/csv/</w:t>
      </w:r>
      <w:r>
        <w:t xml:space="preserve"> catálogo, columnas, relaciones, programables y datos personales en formato CSV.</w:t>
      </w:r>
    </w:p>
    <w:p>
      <w:pPr>
        <w:pStyle w:val="ListBullet"/>
      </w:pPr>
      <w:r>
        <w:rPr>
          <w:b/>
        </w:rPr>
        <w:t>docs/catalogo/</w:t>
      </w:r>
      <w:r>
        <w:t xml:space="preserve"> un documento Markdown por dominio con todas sus tablas y columnas.</w:t>
      </w:r>
    </w:p>
    <w:p>
      <w:pPr>
        <w:pStyle w:val="ListBullet"/>
      </w:pPr>
      <w:r>
        <w:rPr>
          <w:b/>
        </w:rPr>
        <w:t>docs/informe_extraccion_v1.0.md</w:t>
      </w:r>
      <w:r>
        <w:t xml:space="preserve"> cifras de la extracción y cambios frente al corte anterior.</w:t>
      </w:r>
    </w:p>
    <w:p>
      <w:pPr>
        <w:pStyle w:val="ListBullet"/>
      </w:pPr>
      <w:r>
        <w:rPr>
          <w:b/>
        </w:rPr>
        <w:t>sql/extraccion/</w:t>
      </w:r>
      <w:r>
        <w:t xml:space="preserve"> consultas de solo lectura que producen esta información y permiten regenerarla.</w:t>
      </w:r>
    </w:p>
    <w:p>
      <w:pPr>
        <w:pStyle w:val="Heading1"/>
      </w:pPr>
      <w:r>
        <w:t>Anexo · Términos</w:t>
      </w:r>
    </w:p>
    <w:p>
      <w:pPr>
        <w:pStyle w:val="ListBullet"/>
      </w:pPr>
      <w:r>
        <w:rPr>
          <w:b/>
        </w:rPr>
        <w:t xml:space="preserve">Llave foránea (FK): </w:t>
      </w:r>
      <w:r>
        <w:t>restricción que obliga a que un valor exista en la tabla referenciada.</w:t>
      </w:r>
    </w:p>
    <w:p>
      <w:pPr>
        <w:pStyle w:val="ListBullet"/>
      </w:pPr>
      <w:r>
        <w:rPr>
          <w:b/>
        </w:rPr>
        <w:t xml:space="preserve">Relación lógica: </w:t>
      </w:r>
      <w:r>
        <w:t>columna que, por su nombre, corresponde a la clave de otra tabla y no tiene FK declarada.</w:t>
      </w:r>
    </w:p>
    <w:p>
      <w:pPr>
        <w:pStyle w:val="ListBullet"/>
      </w:pPr>
      <w:r>
        <w:rPr>
          <w:b/>
        </w:rPr>
        <w:t xml:space="preserve">Multiplicidad UML: </w:t>
      </w:r>
      <w:r>
        <w:t>número de registros de cada lado que participan en una relación (0..1, 1, 0..*, 1..*).</w:t>
      </w:r>
    </w:p>
    <w:p>
      <w:pPr>
        <w:pStyle w:val="ListBullet"/>
      </w:pPr>
      <w:r>
        <w:rPr>
          <w:b/>
        </w:rPr>
        <w:t xml:space="preserve">Tabla de apoyo: </w:t>
      </w:r>
      <w:r>
        <w:t>tabla de respaldo, copia, migración o temporal, identificada por su nombre.</w:t>
      </w:r>
    </w:p>
    <w:p>
      <w:pPr>
        <w:pStyle w:val="ListBullet"/>
      </w:pPr>
      <w:r>
        <w:rPr>
          <w:b/>
        </w:rPr>
        <w:t xml:space="preserve">Fuente maestra: </w:t>
      </w:r>
      <w:r>
        <w:t>tabla de referencia de un dato, como los datos de identificación de una persona.</w:t>
      </w:r>
    </w:p>
    <w:p>
      <w:r>
        <w:rPr>
          <w:color w:val="5D6B7E"/>
          <w:sz w:val="17"/>
        </w:rPr>
        <w:t>Generado el 2026-10-21 con herramientas/generar_resumen.py a partir de la extracción del 2026-10-21.</w:t>
      </w:r>
    </w:p>
    <w:sectPr w:rsidR="00FC693F" w:rsidRPr="0006063C" w:rsidSect="00034616">
      <w:pgSz w:w="12240" w:h="15840"/>
      <w:pgMar w:top="1134" w:right="1304" w:bottom="1134"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0B3D91"/>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0B3D91"/>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0B3D9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aldairgonzalez-ops/esap-portal-dato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