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 · Fase 2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22 de octubre de 2026 · versión v1.5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 (sección 6).</w:t>
      </w:r>
    </w:p>
    <w:p>
      <w:r>
        <w:t>Esta versión cubre solo la Fase 2 del proyecto. Módulos de la Fase 2 de la SuperApp ESAP: Programación académica, RUND, Contratación, Gestión de infraestructura, Viáticos y Chatbot. Las cifras de este documento se limitan a esas tablas. Las tablas de otros dominios a las que hacen referencia se muestran en el Modelo ER del portal como «otro dominio».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22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 (completa)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618,4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1.905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26.341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23.344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ListBullet"/>
      </w:pPr>
      <w:r>
        <w:rPr>
          <w:b/>
        </w:rPr>
        <w:t>Programación académica:</w:t>
      </w:r>
      <w:r>
        <w:t xml:space="preserve"> Esquema para la gestión de franjas horarias, aulas, jornadas y programación académica institucional ESAP.</w:t>
      </w:r>
    </w:p>
    <w:p>
      <w:pPr>
        <w:pStyle w:val="ListBullet"/>
      </w:pPr>
      <w:r>
        <w:rPr>
          <w:b/>
        </w:rPr>
        <w:t>RUND:</w:t>
      </w:r>
      <w:r>
        <w:t xml:space="preserve"> Registro de docentes (RUND): datos del docente, aprobación de sus bloques de información y soportes, documentos del perfil, extracción asistida de datos desde los documentos, accesos de entidades externas y bitácoras de consulta.</w:t>
      </w:r>
    </w:p>
    <w:p>
      <w:pPr>
        <w:pStyle w:val="ListBullet"/>
      </w:pPr>
      <w:r>
        <w:rPr>
          <w:b/>
        </w:rPr>
        <w:t>Contratación:</w:t>
      </w:r>
      <w:r>
        <w:t xml:space="preserve"> Proceso de contratación de la ESAP, desde la radicación y los estudios previos hasta la liquidación y el cierre: procesos por modalidad, CDP y registro presupuestal, publicaciones en SECOP, evaluación de ofertas y adjudicación, contratos, garantías, supervisión, pagos, modificaciones, incumplimientos y expediente electrónico.</w:t>
      </w:r>
    </w:p>
    <w:p>
      <w:pPr>
        <w:pStyle w:val="ListBullet"/>
      </w:pPr>
      <w:r>
        <w:rPr>
          <w:b/>
        </w:rPr>
        <w:t>Gestión de infraestructura:</w:t>
      </w:r>
      <w:r>
        <w:t xml:space="preserve"> Esquema para la gestión de infraestructura física, sedes territoriales, bloques, aulas, espacios y solicitudes de mantenimiento ESAP.</w:t>
      </w:r>
    </w:p>
    <w:p>
      <w:pPr>
        <w:pStyle w:val="ListBullet"/>
      </w:pPr>
      <w:r>
        <w:rPr>
          <w:b/>
        </w:rPr>
        <w:t>Viáticos y gastos de viaje:</w:t>
      </w:r>
      <w:r>
        <w:t xml:space="preserve"> Trámite de comisiones de servicio: solicitudes de contratistas, docentes, estudiantes, funcionarios e investigadores, liquidación de viáticos y tiquetes, registro presupuestal, obligación y pago, legalización, reintegros y paz y salvos, con las escalas, tarifas y parámetros que se aplican.</w:t>
      </w:r>
    </w:p>
    <w:p>
      <w:pPr>
        <w:pStyle w:val="ListBullet"/>
      </w:pPr>
      <w:r>
        <w:rPr>
          <w:b/>
        </w:rPr>
        <w:t>Asistente virtual (chatbot):</w:t>
      </w:r>
      <w:r>
        <w:t xml:space="preserve"> Esquema para el módulo Asistente Virtual y ChatBot institucional ESAP.</w:t>
      </w:r>
    </w:p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Detalle técnico (CSV)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154 de 154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1.905 de 1.905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35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>Portal de Datos ESAP · Fase 2 v1.5</w:t>
      </w:r>
      <w:r>
        <w:t>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680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</w:tr>
    </w:tbl>
    <w:p/>
    <w:p>
      <w:r>
        <w:t>El detalle técnico que acompaña el portal incluye el catálogo, las columnas, las relaciones, los programables y los datos personales en formato CSV, un documento por dominio con todas sus tablas y columnas, el informe de la extracción y las consultas de solo lectura que permiten regenerar esta información.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2026-10-22 a partir de la extracción del 2026-10-22.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