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13BA6" w14:textId="77777777" w:rsidR="009F7012" w:rsidRDefault="00000000">
      <w:pPr>
        <w:spacing w:before="1600"/>
        <w:jc w:val="center"/>
      </w:pPr>
      <w:r>
        <w:rPr>
          <w:rFonts w:ascii="Aptos Display" w:hAnsi="Aptos Display"/>
          <w:b/>
          <w:color w:val="5B2C83"/>
          <w:sz w:val="60"/>
        </w:rPr>
        <w:t>STC FINANCIAL PERFORMANCE</w:t>
      </w:r>
    </w:p>
    <w:p w14:paraId="51A9FD76" w14:textId="77777777" w:rsidR="009F7012" w:rsidRDefault="00000000">
      <w:pPr>
        <w:jc w:val="center"/>
      </w:pPr>
      <w:r>
        <w:rPr>
          <w:rFonts w:ascii="Aptos Display" w:hAnsi="Aptos Display"/>
          <w:color w:val="D92D55"/>
          <w:sz w:val="40"/>
        </w:rPr>
        <w:t>Board Report &amp; Project Explanation</w:t>
      </w:r>
    </w:p>
    <w:p w14:paraId="016D6D84" w14:textId="77777777" w:rsidR="009F7012" w:rsidRDefault="00000000">
      <w:pPr>
        <w:jc w:val="center"/>
      </w:pPr>
      <w:r>
        <w:rPr>
          <w:color w:val="5B6573"/>
          <w:sz w:val="26"/>
        </w:rPr>
        <w:t>Saudi Telecom Company (stc) | FY2021–FY2025</w:t>
      </w:r>
    </w:p>
    <w:p w14:paraId="5E0F05AB" w14:textId="77777777" w:rsidR="009F7012" w:rsidRDefault="009F7012"/>
    <w:tbl>
      <w:tblPr>
        <w:tblStyle w:val="TableGrid"/>
        <w:tblW w:w="0" w:type="auto"/>
        <w:jc w:val="center"/>
        <w:tblLook w:val="04A0" w:firstRow="1" w:lastRow="0" w:firstColumn="1" w:lastColumn="0" w:noHBand="0" w:noVBand="1"/>
      </w:tblPr>
      <w:tblGrid>
        <w:gridCol w:w="5035"/>
        <w:gridCol w:w="5035"/>
      </w:tblGrid>
      <w:tr w:rsidR="009F7012" w14:paraId="6B16A604" w14:textId="77777777">
        <w:trPr>
          <w:jc w:val="center"/>
        </w:trPr>
        <w:tc>
          <w:tcPr>
            <w:tcW w:w="5040" w:type="dxa"/>
            <w:shd w:val="clear" w:color="auto" w:fill="F3F4F6"/>
            <w:vAlign w:val="center"/>
          </w:tcPr>
          <w:p w14:paraId="01594B1E" w14:textId="77777777" w:rsidR="009F7012" w:rsidRDefault="00000000">
            <w:r>
              <w:rPr>
                <w:b/>
                <w:color w:val="5B2C83"/>
              </w:rPr>
              <w:t>Prepared for</w:t>
            </w:r>
          </w:p>
        </w:tc>
        <w:tc>
          <w:tcPr>
            <w:tcW w:w="5040" w:type="dxa"/>
            <w:vAlign w:val="center"/>
          </w:tcPr>
          <w:p w14:paraId="59A35C3E" w14:textId="77777777" w:rsidR="009F7012" w:rsidRDefault="00000000">
            <w:r>
              <w:t>Board / Senior Management discussion</w:t>
            </w:r>
          </w:p>
        </w:tc>
      </w:tr>
      <w:tr w:rsidR="009F7012" w14:paraId="0849894B" w14:textId="77777777">
        <w:trPr>
          <w:jc w:val="center"/>
        </w:trPr>
        <w:tc>
          <w:tcPr>
            <w:tcW w:w="5040" w:type="dxa"/>
            <w:shd w:val="clear" w:color="auto" w:fill="F3F4F6"/>
            <w:vAlign w:val="center"/>
          </w:tcPr>
          <w:p w14:paraId="5EEBD78B" w14:textId="77777777" w:rsidR="009F7012" w:rsidRDefault="00000000">
            <w:r>
              <w:rPr>
                <w:b/>
                <w:color w:val="5B2C83"/>
              </w:rPr>
              <w:t>Reporting basis</w:t>
            </w:r>
          </w:p>
        </w:tc>
        <w:tc>
          <w:tcPr>
            <w:tcW w:w="5040" w:type="dxa"/>
            <w:vAlign w:val="center"/>
          </w:tcPr>
          <w:p w14:paraId="18B8E583" w14:textId="77777777" w:rsidR="009F7012" w:rsidRDefault="00000000">
            <w:r>
              <w:t>Consolidated Group figures</w:t>
            </w:r>
          </w:p>
        </w:tc>
      </w:tr>
      <w:tr w:rsidR="009F7012" w14:paraId="4A2E9AA7" w14:textId="77777777">
        <w:trPr>
          <w:jc w:val="center"/>
        </w:trPr>
        <w:tc>
          <w:tcPr>
            <w:tcW w:w="5040" w:type="dxa"/>
            <w:shd w:val="clear" w:color="auto" w:fill="F3F4F6"/>
            <w:vAlign w:val="center"/>
          </w:tcPr>
          <w:p w14:paraId="0824A64A" w14:textId="77777777" w:rsidR="009F7012" w:rsidRDefault="00000000">
            <w:r>
              <w:rPr>
                <w:b/>
                <w:color w:val="5B2C83"/>
              </w:rPr>
              <w:t>Currency / unit</w:t>
            </w:r>
          </w:p>
        </w:tc>
        <w:tc>
          <w:tcPr>
            <w:tcW w:w="5040" w:type="dxa"/>
            <w:vAlign w:val="center"/>
          </w:tcPr>
          <w:p w14:paraId="010C2686" w14:textId="77777777" w:rsidR="009F7012" w:rsidRDefault="00000000">
            <w:r>
              <w:t>Saudi Riyals (SAR) thousands unless otherwise stated</w:t>
            </w:r>
          </w:p>
        </w:tc>
      </w:tr>
      <w:tr w:rsidR="009F7012" w14:paraId="18F802EA" w14:textId="77777777">
        <w:trPr>
          <w:jc w:val="center"/>
        </w:trPr>
        <w:tc>
          <w:tcPr>
            <w:tcW w:w="5040" w:type="dxa"/>
            <w:shd w:val="clear" w:color="auto" w:fill="F3F4F6"/>
            <w:vAlign w:val="center"/>
          </w:tcPr>
          <w:p w14:paraId="78EFC671" w14:textId="77777777" w:rsidR="009F7012" w:rsidRDefault="00000000">
            <w:r>
              <w:rPr>
                <w:b/>
                <w:color w:val="5B2C83"/>
              </w:rPr>
              <w:t>Document status</w:t>
            </w:r>
          </w:p>
        </w:tc>
        <w:tc>
          <w:tcPr>
            <w:tcW w:w="5040" w:type="dxa"/>
            <w:vAlign w:val="center"/>
          </w:tcPr>
          <w:p w14:paraId="219CD730" w14:textId="77777777" w:rsidR="009F7012" w:rsidRDefault="00000000">
            <w:r>
              <w:t>Independent educational and portfolio analysis</w:t>
            </w:r>
          </w:p>
        </w:tc>
      </w:tr>
    </w:tbl>
    <w:p w14:paraId="7D948081" w14:textId="77777777" w:rsidR="009F7012" w:rsidRDefault="009F7012"/>
    <w:p w14:paraId="4512C93A" w14:textId="77777777" w:rsidR="009F7012" w:rsidRDefault="00000000">
      <w:pPr>
        <w:jc w:val="center"/>
      </w:pPr>
      <w:r>
        <w:rPr>
          <w:i/>
          <w:color w:val="5B6573"/>
        </w:rPr>
        <w:t>Purpose: provide a decision-oriented view of reported financial performance, key movements, and areas requiring further management review.</w:t>
      </w:r>
    </w:p>
    <w:p w14:paraId="7CBE935A" w14:textId="77777777" w:rsidR="009F7012" w:rsidRDefault="00000000">
      <w:r>
        <w:br w:type="page"/>
      </w:r>
    </w:p>
    <w:p w14:paraId="4B6DFCA9" w14:textId="7534B7E0" w:rsidR="00F84367" w:rsidRDefault="00000000" w:rsidP="00F84367">
      <w:pPr>
        <w:pStyle w:val="Heading1"/>
        <w:spacing w:before="240" w:after="120"/>
        <w:rPr>
          <w:rFonts w:ascii="Aptos Display" w:hAnsi="Aptos Display"/>
          <w:rtl/>
        </w:rPr>
      </w:pPr>
      <w:r>
        <w:rPr>
          <w:rFonts w:ascii="Aptos Display" w:hAnsi="Aptos Display"/>
        </w:rPr>
        <w:lastRenderedPageBreak/>
        <w:t xml:space="preserve">Contents </w:t>
      </w:r>
    </w:p>
    <w:p w14:paraId="5ADAE4DD" w14:textId="77777777" w:rsidR="00F84367" w:rsidRPr="00F84367" w:rsidRDefault="00F84367" w:rsidP="00F84367">
      <w:pPr>
        <w:pStyle w:val="ListBullet"/>
      </w:pPr>
      <w:r>
        <w:rPr>
          <w:rFonts w:hint="cs"/>
          <w:rtl/>
        </w:rPr>
        <w:t>1</w:t>
      </w:r>
      <w:r>
        <w:t>.</w:t>
      </w:r>
      <w:r w:rsidRPr="00F84367">
        <w:t>Board Executive Summary</w:t>
      </w:r>
    </w:p>
    <w:p w14:paraId="400040AC" w14:textId="047B5C4F" w:rsidR="00F84367" w:rsidRDefault="00F84367" w:rsidP="00F84367">
      <w:pPr>
        <w:pStyle w:val="ListBullet"/>
        <w:spacing w:after="60"/>
      </w:pPr>
      <w:r>
        <w:t>2. Reported Financial Performance</w:t>
      </w:r>
    </w:p>
    <w:p w14:paraId="1E553DE6" w14:textId="77777777" w:rsidR="009F7012" w:rsidRDefault="00000000">
      <w:pPr>
        <w:pStyle w:val="ListBullet"/>
        <w:spacing w:after="60"/>
      </w:pPr>
      <w:r>
        <w:t>3. Profitability and Cash Flow Interpretation</w:t>
      </w:r>
    </w:p>
    <w:p w14:paraId="47345168" w14:textId="77777777" w:rsidR="009F7012" w:rsidRDefault="00000000">
      <w:pPr>
        <w:pStyle w:val="ListBullet"/>
        <w:spacing w:after="60"/>
      </w:pPr>
      <w:r>
        <w:t>4. Financial Position, Liquidity and Leverage</w:t>
      </w:r>
    </w:p>
    <w:p w14:paraId="3D23ED1B" w14:textId="77777777" w:rsidR="009F7012" w:rsidRDefault="00000000">
      <w:pPr>
        <w:pStyle w:val="ListBullet"/>
        <w:spacing w:after="60"/>
      </w:pPr>
      <w:r>
        <w:t>5. Board-Level Implications and Recommended Actions</w:t>
      </w:r>
    </w:p>
    <w:p w14:paraId="264BF4FC" w14:textId="77777777" w:rsidR="009F7012" w:rsidRDefault="00000000">
      <w:pPr>
        <w:pStyle w:val="ListBullet"/>
        <w:spacing w:after="60"/>
      </w:pPr>
      <w:r>
        <w:t>6. Project Explanation and Data Methodology</w:t>
      </w:r>
    </w:p>
    <w:p w14:paraId="2CDEAF51" w14:textId="77777777" w:rsidR="009F7012" w:rsidRDefault="00000000">
      <w:pPr>
        <w:pStyle w:val="ListBullet"/>
        <w:spacing w:after="60"/>
      </w:pPr>
      <w:r>
        <w:t>Appendix A. Five-Year KPI Table</w:t>
      </w:r>
    </w:p>
    <w:p w14:paraId="75F87AAF" w14:textId="77777777" w:rsidR="009F7012" w:rsidRDefault="00000000">
      <w:pPr>
        <w:pStyle w:val="ListBullet"/>
        <w:spacing w:after="60"/>
      </w:pPr>
      <w:r>
        <w:t>Appendix B. Source Documents</w:t>
      </w:r>
    </w:p>
    <w:p w14:paraId="5887779F" w14:textId="77777777" w:rsidR="009F7012" w:rsidRDefault="00000000">
      <w:pPr>
        <w:pStyle w:val="Heading1"/>
        <w:spacing w:before="240" w:after="120"/>
      </w:pPr>
      <w:r>
        <w:rPr>
          <w:rFonts w:ascii="Aptos Display" w:hAnsi="Aptos Display"/>
        </w:rPr>
        <w:t>1. Board Executive Summary</w:t>
      </w:r>
    </w:p>
    <w:p w14:paraId="6004E5E7" w14:textId="77777777" w:rsidR="009F7012" w:rsidRDefault="00000000">
      <w:pPr>
        <w:spacing w:after="120" w:line="259" w:lineRule="auto"/>
      </w:pPr>
      <w:r>
        <w:t>This report summarizes the five-year consolidated financial performance of Saudi Telecom Company (stc) from FY2021 to FY2025. The focus is not only on reported growth, but also on the quality of the movement across profitability, cash flow, liquidity and balance-sheet scale. The accompanying dashboard is designed to support discussion, not replace the annual reports or management accounts.</w:t>
      </w:r>
    </w:p>
    <w:p w14:paraId="36F4B246" w14:textId="0B90F222" w:rsidR="009F7012" w:rsidRDefault="009F7012">
      <w:pPr>
        <w:spacing w:after="120" w:line="259" w:lineRule="auto"/>
      </w:pPr>
    </w:p>
    <w:tbl>
      <w:tblPr>
        <w:tblStyle w:val="TableGrid"/>
        <w:tblW w:w="0" w:type="auto"/>
        <w:jc w:val="center"/>
        <w:tblLook w:val="04A0" w:firstRow="1" w:lastRow="0" w:firstColumn="1" w:lastColumn="0" w:noHBand="0" w:noVBand="1"/>
      </w:tblPr>
      <w:tblGrid>
        <w:gridCol w:w="2516"/>
        <w:gridCol w:w="2518"/>
        <w:gridCol w:w="2518"/>
        <w:gridCol w:w="2518"/>
      </w:tblGrid>
      <w:tr w:rsidR="009F7012" w14:paraId="4A61D9B9" w14:textId="77777777">
        <w:trPr>
          <w:jc w:val="center"/>
        </w:trPr>
        <w:tc>
          <w:tcPr>
            <w:tcW w:w="2520" w:type="dxa"/>
            <w:shd w:val="clear" w:color="auto" w:fill="F3F4F6"/>
          </w:tcPr>
          <w:p w14:paraId="6467FBB9" w14:textId="77777777" w:rsidR="009F7012" w:rsidRDefault="00000000">
            <w:pPr>
              <w:jc w:val="center"/>
            </w:pPr>
            <w:r>
              <w:rPr>
                <w:b/>
                <w:color w:val="5B2C83"/>
                <w:sz w:val="18"/>
              </w:rPr>
              <w:t>Revenue 2021–2025</w:t>
            </w:r>
            <w:r>
              <w:rPr>
                <w:b/>
                <w:color w:val="5B2C83"/>
                <w:sz w:val="18"/>
              </w:rPr>
              <w:br/>
            </w:r>
            <w:r>
              <w:rPr>
                <w:b/>
                <w:color w:val="D92D55"/>
                <w:sz w:val="32"/>
              </w:rPr>
              <w:t>23.5%</w:t>
            </w:r>
            <w:r>
              <w:rPr>
                <w:b/>
                <w:color w:val="D92D55"/>
                <w:sz w:val="32"/>
              </w:rPr>
              <w:br/>
            </w:r>
            <w:r>
              <w:rPr>
                <w:color w:val="5B6573"/>
                <w:sz w:val="16"/>
              </w:rPr>
              <w:t>Cumulative reported growth</w:t>
            </w:r>
          </w:p>
        </w:tc>
        <w:tc>
          <w:tcPr>
            <w:tcW w:w="2520" w:type="dxa"/>
            <w:shd w:val="clear" w:color="auto" w:fill="F3F4F6"/>
          </w:tcPr>
          <w:p w14:paraId="0430CF50" w14:textId="77777777" w:rsidR="009F7012" w:rsidRDefault="00000000">
            <w:pPr>
              <w:jc w:val="center"/>
            </w:pPr>
            <w:r>
              <w:rPr>
                <w:b/>
                <w:color w:val="5B2C83"/>
                <w:sz w:val="18"/>
              </w:rPr>
              <w:t>2025 Net Profit</w:t>
            </w:r>
            <w:r>
              <w:rPr>
                <w:b/>
                <w:color w:val="5B2C83"/>
                <w:sz w:val="18"/>
              </w:rPr>
              <w:br/>
            </w:r>
            <w:r>
              <w:rPr>
                <w:b/>
                <w:color w:val="D92D55"/>
                <w:sz w:val="32"/>
              </w:rPr>
              <w:t>15,134.9</w:t>
            </w:r>
            <w:r>
              <w:rPr>
                <w:b/>
                <w:color w:val="D92D55"/>
                <w:sz w:val="32"/>
              </w:rPr>
              <w:br/>
            </w:r>
            <w:r>
              <w:rPr>
                <w:color w:val="5B6573"/>
                <w:sz w:val="16"/>
              </w:rPr>
              <w:t>SAR million</w:t>
            </w:r>
          </w:p>
        </w:tc>
        <w:tc>
          <w:tcPr>
            <w:tcW w:w="2520" w:type="dxa"/>
            <w:shd w:val="clear" w:color="auto" w:fill="F3F4F6"/>
          </w:tcPr>
          <w:p w14:paraId="5F8DE124" w14:textId="77777777" w:rsidR="009F7012" w:rsidRDefault="00000000">
            <w:pPr>
              <w:jc w:val="center"/>
            </w:pPr>
            <w:r>
              <w:rPr>
                <w:b/>
                <w:color w:val="5B2C83"/>
                <w:sz w:val="18"/>
              </w:rPr>
              <w:t>2025 Operating CF</w:t>
            </w:r>
            <w:r>
              <w:rPr>
                <w:b/>
                <w:color w:val="5B2C83"/>
                <w:sz w:val="18"/>
              </w:rPr>
              <w:br/>
            </w:r>
            <w:r>
              <w:rPr>
                <w:b/>
                <w:color w:val="D92D55"/>
                <w:sz w:val="32"/>
              </w:rPr>
              <w:t>18,283.2</w:t>
            </w:r>
            <w:r>
              <w:rPr>
                <w:b/>
                <w:color w:val="D92D55"/>
                <w:sz w:val="32"/>
              </w:rPr>
              <w:br/>
            </w:r>
            <w:r>
              <w:rPr>
                <w:color w:val="5B6573"/>
                <w:sz w:val="16"/>
              </w:rPr>
              <w:t>SAR million; positive</w:t>
            </w:r>
          </w:p>
        </w:tc>
        <w:tc>
          <w:tcPr>
            <w:tcW w:w="2520" w:type="dxa"/>
            <w:shd w:val="clear" w:color="auto" w:fill="F3F4F6"/>
          </w:tcPr>
          <w:p w14:paraId="6102FAF1" w14:textId="77777777" w:rsidR="009F7012" w:rsidRDefault="00000000">
            <w:pPr>
              <w:jc w:val="center"/>
            </w:pPr>
            <w:r>
              <w:rPr>
                <w:b/>
                <w:color w:val="5B2C83"/>
                <w:sz w:val="18"/>
              </w:rPr>
              <w:t>2025 Total Assets</w:t>
            </w:r>
            <w:r>
              <w:rPr>
                <w:b/>
                <w:color w:val="5B2C83"/>
                <w:sz w:val="18"/>
              </w:rPr>
              <w:br/>
            </w:r>
            <w:r>
              <w:rPr>
                <w:b/>
                <w:color w:val="D92D55"/>
                <w:sz w:val="32"/>
              </w:rPr>
              <w:t>157,476.7</w:t>
            </w:r>
            <w:r>
              <w:rPr>
                <w:b/>
                <w:color w:val="D92D55"/>
                <w:sz w:val="32"/>
              </w:rPr>
              <w:br/>
            </w:r>
            <w:r>
              <w:rPr>
                <w:color w:val="5B6573"/>
                <w:sz w:val="16"/>
              </w:rPr>
              <w:t>SAR million</w:t>
            </w:r>
          </w:p>
        </w:tc>
      </w:tr>
    </w:tbl>
    <w:p w14:paraId="26EA76CF" w14:textId="77777777" w:rsidR="009F7012" w:rsidRDefault="00000000">
      <w:pPr>
        <w:pStyle w:val="Heading2"/>
        <w:spacing w:before="240" w:after="120"/>
      </w:pPr>
      <w:r>
        <w:rPr>
          <w:rFonts w:ascii="Aptos Display" w:hAnsi="Aptos Display"/>
        </w:rPr>
        <w:t>Board messages at a glance</w:t>
      </w:r>
    </w:p>
    <w:p w14:paraId="0BDCAC8F" w14:textId="77777777" w:rsidR="009F7012" w:rsidRDefault="00000000">
      <w:pPr>
        <w:pStyle w:val="ListBullet"/>
        <w:spacing w:after="60"/>
      </w:pPr>
      <w:r>
        <w:t>Top-line momentum: Revenue increased from SAR 63,008.0 million in 2021 to SAR 77,818.7 million in 2025, a cumulative increase of 23.5%.</w:t>
      </w:r>
    </w:p>
    <w:p w14:paraId="2BD496C2" w14:textId="77777777" w:rsidR="009F7012" w:rsidRDefault="00000000">
      <w:pPr>
        <w:pStyle w:val="ListBullet"/>
        <w:spacing w:after="60"/>
      </w:pPr>
      <w:r>
        <w:t>Profitability quality: Net profit reached SAR 24,916.2 million in 2024 and declined to SAR 15,134.9 million in 2025 even as revenue increased. The consolidated figures for 2024 and 2025 include discontinued operations as reported.</w:t>
      </w:r>
    </w:p>
    <w:p w14:paraId="15A85BC8" w14:textId="77777777" w:rsidR="009F7012" w:rsidRDefault="00000000">
      <w:pPr>
        <w:pStyle w:val="ListBullet"/>
        <w:spacing w:after="60"/>
      </w:pPr>
      <w:r>
        <w:t>Cash conversion: Operating cash flow was positive in every year, supporting the view that reported earnings were accompanied by operating cash generation, although cash flow and profit should be reviewed together.</w:t>
      </w:r>
    </w:p>
    <w:p w14:paraId="76D5D02F" w14:textId="77777777" w:rsidR="009F7012" w:rsidRDefault="00000000">
      <w:pPr>
        <w:pStyle w:val="ListBullet"/>
        <w:spacing w:after="60"/>
      </w:pPr>
      <w:r>
        <w:t>Balance-sheet scale: Total assets peaked at SAR 160,638.1 million in 2024 and were SAR 157,476.7 million in 2025. 2025 liabilities and equity were SAR 71,090.3 million and SAR 86,386.3 million, respectively.</w:t>
      </w:r>
    </w:p>
    <w:p w14:paraId="03A094B0" w14:textId="77777777" w:rsidR="009F7012" w:rsidRDefault="00000000">
      <w:pPr>
        <w:pStyle w:val="ListBullet"/>
        <w:spacing w:after="60"/>
      </w:pPr>
      <w:r>
        <w:t>Decision focus: The next management review should reconcile continuing versus discontinued operations, explain the 2025 profit movement, and connect balance-sheet changes to investments, borrowings, assets held for sale and distributions.</w:t>
      </w:r>
    </w:p>
    <w:p w14:paraId="4274CFEC" w14:textId="77777777" w:rsidR="009F7012" w:rsidRDefault="00000000">
      <w:pPr>
        <w:pStyle w:val="Heading1"/>
        <w:spacing w:before="240" w:after="120"/>
      </w:pPr>
      <w:r>
        <w:rPr>
          <w:rFonts w:ascii="Aptos Display" w:hAnsi="Aptos Display"/>
        </w:rPr>
        <w:t>2. Reported Financial Performance</w:t>
      </w:r>
    </w:p>
    <w:p w14:paraId="16595C1D" w14:textId="77777777" w:rsidR="009F7012" w:rsidRDefault="00000000">
      <w:pPr>
        <w:spacing w:after="120" w:line="259" w:lineRule="auto"/>
      </w:pPr>
      <w:r>
        <w:t>The chart below compares the reported Revenue, Net Profit and Operating Cash Flow series. Values are shown in SAR millions for board readability; the underlying Excel model uses SAR thousands.</w:t>
      </w:r>
    </w:p>
    <w:p w14:paraId="7D2F9408" w14:textId="77777777" w:rsidR="009F7012" w:rsidRDefault="00000000">
      <w:pPr>
        <w:jc w:val="center"/>
      </w:pPr>
      <w:r>
        <w:rPr>
          <w:noProof/>
        </w:rPr>
        <w:lastRenderedPageBreak/>
        <w:drawing>
          <wp:inline distT="0" distB="0" distL="0" distR="0" wp14:anchorId="307B2B0F" wp14:editId="002FAC61">
            <wp:extent cx="6217920" cy="2951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c_board_trend.png"/>
                    <pic:cNvPicPr/>
                  </pic:nvPicPr>
                  <pic:blipFill>
                    <a:blip r:embed="rId8"/>
                    <a:stretch>
                      <a:fillRect/>
                    </a:stretch>
                  </pic:blipFill>
                  <pic:spPr>
                    <a:xfrm>
                      <a:off x="0" y="0"/>
                      <a:ext cx="6217920" cy="2951942"/>
                    </a:xfrm>
                    <a:prstGeom prst="rect">
                      <a:avLst/>
                    </a:prstGeom>
                  </pic:spPr>
                </pic:pic>
              </a:graphicData>
            </a:graphic>
          </wp:inline>
        </w:drawing>
      </w:r>
    </w:p>
    <w:p w14:paraId="254EEC65" w14:textId="77777777" w:rsidR="009F7012" w:rsidRDefault="00000000">
      <w:pPr>
        <w:pStyle w:val="Heading2"/>
        <w:spacing w:before="240" w:after="120"/>
      </w:pPr>
      <w:r>
        <w:rPr>
          <w:rFonts w:ascii="Aptos Display" w:hAnsi="Aptos Display"/>
        </w:rPr>
        <w:t>Five-year headline comparison</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9F7012" w14:paraId="63EA7EB2" w14:textId="77777777">
        <w:trPr>
          <w:jc w:val="center"/>
        </w:trPr>
        <w:tc>
          <w:tcPr>
            <w:tcW w:w="1680" w:type="dxa"/>
            <w:shd w:val="clear" w:color="auto" w:fill="5B2C83"/>
            <w:vAlign w:val="center"/>
          </w:tcPr>
          <w:p w14:paraId="5FCFB156" w14:textId="77777777" w:rsidR="009F7012" w:rsidRDefault="00000000">
            <w:pPr>
              <w:jc w:val="center"/>
            </w:pPr>
            <w:r>
              <w:rPr>
                <w:b/>
                <w:color w:val="FFFFFF"/>
                <w:sz w:val="16"/>
              </w:rPr>
              <w:t>Metric</w:t>
            </w:r>
          </w:p>
        </w:tc>
        <w:tc>
          <w:tcPr>
            <w:tcW w:w="1680" w:type="dxa"/>
            <w:shd w:val="clear" w:color="auto" w:fill="5B2C83"/>
            <w:vAlign w:val="center"/>
          </w:tcPr>
          <w:p w14:paraId="3DD3177E" w14:textId="77777777" w:rsidR="009F7012" w:rsidRDefault="00000000">
            <w:pPr>
              <w:jc w:val="center"/>
            </w:pPr>
            <w:r>
              <w:rPr>
                <w:b/>
                <w:color w:val="FFFFFF"/>
                <w:sz w:val="16"/>
              </w:rPr>
              <w:t>2021</w:t>
            </w:r>
          </w:p>
        </w:tc>
        <w:tc>
          <w:tcPr>
            <w:tcW w:w="1680" w:type="dxa"/>
            <w:shd w:val="clear" w:color="auto" w:fill="5B2C83"/>
            <w:vAlign w:val="center"/>
          </w:tcPr>
          <w:p w14:paraId="66392226" w14:textId="77777777" w:rsidR="009F7012" w:rsidRDefault="00000000">
            <w:pPr>
              <w:jc w:val="center"/>
            </w:pPr>
            <w:r>
              <w:rPr>
                <w:b/>
                <w:color w:val="FFFFFF"/>
                <w:sz w:val="16"/>
              </w:rPr>
              <w:t>2022</w:t>
            </w:r>
          </w:p>
        </w:tc>
        <w:tc>
          <w:tcPr>
            <w:tcW w:w="1680" w:type="dxa"/>
            <w:shd w:val="clear" w:color="auto" w:fill="5B2C83"/>
            <w:vAlign w:val="center"/>
          </w:tcPr>
          <w:p w14:paraId="38E002CB" w14:textId="77777777" w:rsidR="009F7012" w:rsidRDefault="00000000">
            <w:pPr>
              <w:jc w:val="center"/>
            </w:pPr>
            <w:r>
              <w:rPr>
                <w:b/>
                <w:color w:val="FFFFFF"/>
                <w:sz w:val="16"/>
              </w:rPr>
              <w:t>2023</w:t>
            </w:r>
          </w:p>
        </w:tc>
        <w:tc>
          <w:tcPr>
            <w:tcW w:w="1680" w:type="dxa"/>
            <w:shd w:val="clear" w:color="auto" w:fill="5B2C83"/>
            <w:vAlign w:val="center"/>
          </w:tcPr>
          <w:p w14:paraId="04D7EA4F" w14:textId="77777777" w:rsidR="009F7012" w:rsidRDefault="00000000">
            <w:pPr>
              <w:jc w:val="center"/>
            </w:pPr>
            <w:r>
              <w:rPr>
                <w:b/>
                <w:color w:val="FFFFFF"/>
                <w:sz w:val="16"/>
              </w:rPr>
              <w:t>2024</w:t>
            </w:r>
          </w:p>
        </w:tc>
        <w:tc>
          <w:tcPr>
            <w:tcW w:w="1680" w:type="dxa"/>
            <w:shd w:val="clear" w:color="auto" w:fill="5B2C83"/>
            <w:vAlign w:val="center"/>
          </w:tcPr>
          <w:p w14:paraId="6A4493E4" w14:textId="77777777" w:rsidR="009F7012" w:rsidRDefault="00000000">
            <w:pPr>
              <w:jc w:val="center"/>
            </w:pPr>
            <w:r>
              <w:rPr>
                <w:b/>
                <w:color w:val="FFFFFF"/>
                <w:sz w:val="16"/>
              </w:rPr>
              <w:t>2025</w:t>
            </w:r>
          </w:p>
        </w:tc>
      </w:tr>
      <w:tr w:rsidR="009F7012" w14:paraId="0A51645A" w14:textId="77777777">
        <w:trPr>
          <w:jc w:val="center"/>
        </w:trPr>
        <w:tc>
          <w:tcPr>
            <w:tcW w:w="1680" w:type="dxa"/>
            <w:vAlign w:val="center"/>
          </w:tcPr>
          <w:p w14:paraId="360B6FF2" w14:textId="77777777" w:rsidR="009F7012" w:rsidRDefault="00000000">
            <w:r>
              <w:rPr>
                <w:b/>
                <w:color w:val="5B2C83"/>
                <w:sz w:val="16"/>
              </w:rPr>
              <w:t>Revenue</w:t>
            </w:r>
          </w:p>
        </w:tc>
        <w:tc>
          <w:tcPr>
            <w:tcW w:w="1680" w:type="dxa"/>
            <w:vAlign w:val="center"/>
          </w:tcPr>
          <w:p w14:paraId="6FD2655D" w14:textId="77777777" w:rsidR="009F7012" w:rsidRDefault="00000000">
            <w:pPr>
              <w:jc w:val="right"/>
            </w:pPr>
            <w:r>
              <w:rPr>
                <w:sz w:val="16"/>
              </w:rPr>
              <w:t>63,008.0</w:t>
            </w:r>
          </w:p>
        </w:tc>
        <w:tc>
          <w:tcPr>
            <w:tcW w:w="1680" w:type="dxa"/>
            <w:vAlign w:val="center"/>
          </w:tcPr>
          <w:p w14:paraId="75878171" w14:textId="77777777" w:rsidR="009F7012" w:rsidRDefault="00000000">
            <w:pPr>
              <w:jc w:val="right"/>
            </w:pPr>
            <w:r>
              <w:rPr>
                <w:sz w:val="16"/>
              </w:rPr>
              <w:t>67,431.5</w:t>
            </w:r>
          </w:p>
        </w:tc>
        <w:tc>
          <w:tcPr>
            <w:tcW w:w="1680" w:type="dxa"/>
            <w:vAlign w:val="center"/>
          </w:tcPr>
          <w:p w14:paraId="6A7DB22D" w14:textId="77777777" w:rsidR="009F7012" w:rsidRDefault="00000000">
            <w:pPr>
              <w:jc w:val="right"/>
            </w:pPr>
            <w:r>
              <w:rPr>
                <w:sz w:val="16"/>
              </w:rPr>
              <w:t>71,777.2</w:t>
            </w:r>
          </w:p>
        </w:tc>
        <w:tc>
          <w:tcPr>
            <w:tcW w:w="1680" w:type="dxa"/>
            <w:vAlign w:val="center"/>
          </w:tcPr>
          <w:p w14:paraId="7329585D" w14:textId="77777777" w:rsidR="009F7012" w:rsidRDefault="00000000">
            <w:pPr>
              <w:jc w:val="right"/>
            </w:pPr>
            <w:r>
              <w:rPr>
                <w:sz w:val="16"/>
              </w:rPr>
              <w:t>75,893.4</w:t>
            </w:r>
          </w:p>
        </w:tc>
        <w:tc>
          <w:tcPr>
            <w:tcW w:w="1680" w:type="dxa"/>
            <w:vAlign w:val="center"/>
          </w:tcPr>
          <w:p w14:paraId="142FD6D5" w14:textId="77777777" w:rsidR="009F7012" w:rsidRDefault="00000000">
            <w:pPr>
              <w:jc w:val="right"/>
            </w:pPr>
            <w:r>
              <w:rPr>
                <w:sz w:val="16"/>
              </w:rPr>
              <w:t>77,818.7</w:t>
            </w:r>
          </w:p>
        </w:tc>
      </w:tr>
      <w:tr w:rsidR="009F7012" w14:paraId="2787A3EC" w14:textId="77777777">
        <w:trPr>
          <w:jc w:val="center"/>
        </w:trPr>
        <w:tc>
          <w:tcPr>
            <w:tcW w:w="1680" w:type="dxa"/>
            <w:vAlign w:val="center"/>
          </w:tcPr>
          <w:p w14:paraId="6F83824C" w14:textId="77777777" w:rsidR="009F7012" w:rsidRDefault="00000000">
            <w:r>
              <w:rPr>
                <w:b/>
                <w:color w:val="5B2C83"/>
                <w:sz w:val="16"/>
              </w:rPr>
              <w:t>Gross Profit</w:t>
            </w:r>
          </w:p>
        </w:tc>
        <w:tc>
          <w:tcPr>
            <w:tcW w:w="1680" w:type="dxa"/>
            <w:vAlign w:val="center"/>
          </w:tcPr>
          <w:p w14:paraId="232A80E4" w14:textId="77777777" w:rsidR="009F7012" w:rsidRDefault="00000000">
            <w:pPr>
              <w:jc w:val="right"/>
            </w:pPr>
            <w:r>
              <w:rPr>
                <w:sz w:val="16"/>
              </w:rPr>
              <w:t>33,794.0</w:t>
            </w:r>
          </w:p>
        </w:tc>
        <w:tc>
          <w:tcPr>
            <w:tcW w:w="1680" w:type="dxa"/>
            <w:vAlign w:val="center"/>
          </w:tcPr>
          <w:p w14:paraId="309F783B" w14:textId="77777777" w:rsidR="009F7012" w:rsidRDefault="00000000">
            <w:pPr>
              <w:jc w:val="right"/>
            </w:pPr>
            <w:r>
              <w:rPr>
                <w:sz w:val="16"/>
              </w:rPr>
              <w:t>37,393.3</w:t>
            </w:r>
          </w:p>
        </w:tc>
        <w:tc>
          <w:tcPr>
            <w:tcW w:w="1680" w:type="dxa"/>
            <w:vAlign w:val="center"/>
          </w:tcPr>
          <w:p w14:paraId="70D43B42" w14:textId="77777777" w:rsidR="009F7012" w:rsidRDefault="00000000">
            <w:pPr>
              <w:jc w:val="right"/>
            </w:pPr>
            <w:r>
              <w:rPr>
                <w:sz w:val="16"/>
              </w:rPr>
              <w:t>34,740.1</w:t>
            </w:r>
          </w:p>
        </w:tc>
        <w:tc>
          <w:tcPr>
            <w:tcW w:w="1680" w:type="dxa"/>
            <w:vAlign w:val="center"/>
          </w:tcPr>
          <w:p w14:paraId="18F24C4A" w14:textId="77777777" w:rsidR="009F7012" w:rsidRDefault="00000000">
            <w:pPr>
              <w:jc w:val="right"/>
            </w:pPr>
            <w:r>
              <w:rPr>
                <w:sz w:val="16"/>
              </w:rPr>
              <w:t>37,300.4</w:t>
            </w:r>
          </w:p>
        </w:tc>
        <w:tc>
          <w:tcPr>
            <w:tcW w:w="1680" w:type="dxa"/>
            <w:vAlign w:val="center"/>
          </w:tcPr>
          <w:p w14:paraId="2265695C" w14:textId="77777777" w:rsidR="009F7012" w:rsidRDefault="00000000">
            <w:pPr>
              <w:jc w:val="right"/>
            </w:pPr>
            <w:r>
              <w:rPr>
                <w:sz w:val="16"/>
              </w:rPr>
              <w:t>37,699.7</w:t>
            </w:r>
          </w:p>
        </w:tc>
      </w:tr>
      <w:tr w:rsidR="009F7012" w14:paraId="29FFBC25" w14:textId="77777777">
        <w:trPr>
          <w:jc w:val="center"/>
        </w:trPr>
        <w:tc>
          <w:tcPr>
            <w:tcW w:w="1680" w:type="dxa"/>
            <w:vAlign w:val="center"/>
          </w:tcPr>
          <w:p w14:paraId="19A862BD" w14:textId="77777777" w:rsidR="009F7012" w:rsidRDefault="00000000">
            <w:r>
              <w:rPr>
                <w:b/>
                <w:color w:val="5B2C83"/>
                <w:sz w:val="16"/>
              </w:rPr>
              <w:t>Operating Profit</w:t>
            </w:r>
          </w:p>
        </w:tc>
        <w:tc>
          <w:tcPr>
            <w:tcW w:w="1680" w:type="dxa"/>
            <w:vAlign w:val="center"/>
          </w:tcPr>
          <w:p w14:paraId="6BE0A381" w14:textId="77777777" w:rsidR="009F7012" w:rsidRDefault="00000000">
            <w:pPr>
              <w:jc w:val="right"/>
            </w:pPr>
            <w:r>
              <w:rPr>
                <w:sz w:val="16"/>
              </w:rPr>
              <w:t>13,127.8</w:t>
            </w:r>
          </w:p>
        </w:tc>
        <w:tc>
          <w:tcPr>
            <w:tcW w:w="1680" w:type="dxa"/>
            <w:vAlign w:val="center"/>
          </w:tcPr>
          <w:p w14:paraId="23ED8A92" w14:textId="77777777" w:rsidR="009F7012" w:rsidRDefault="00000000">
            <w:pPr>
              <w:jc w:val="right"/>
            </w:pPr>
            <w:r>
              <w:rPr>
                <w:sz w:val="16"/>
              </w:rPr>
              <w:t>15,088.4</w:t>
            </w:r>
          </w:p>
        </w:tc>
        <w:tc>
          <w:tcPr>
            <w:tcW w:w="1680" w:type="dxa"/>
            <w:vAlign w:val="center"/>
          </w:tcPr>
          <w:p w14:paraId="6AE9BC82" w14:textId="77777777" w:rsidR="009F7012" w:rsidRDefault="00000000">
            <w:pPr>
              <w:jc w:val="right"/>
            </w:pPr>
            <w:r>
              <w:rPr>
                <w:sz w:val="16"/>
              </w:rPr>
              <w:t>13,161.3</w:t>
            </w:r>
          </w:p>
        </w:tc>
        <w:tc>
          <w:tcPr>
            <w:tcW w:w="1680" w:type="dxa"/>
            <w:vAlign w:val="center"/>
          </w:tcPr>
          <w:p w14:paraId="23F1AD48" w14:textId="77777777" w:rsidR="009F7012" w:rsidRDefault="00000000">
            <w:pPr>
              <w:jc w:val="right"/>
            </w:pPr>
            <w:r>
              <w:rPr>
                <w:sz w:val="16"/>
              </w:rPr>
              <w:t>14,425.6</w:t>
            </w:r>
          </w:p>
        </w:tc>
        <w:tc>
          <w:tcPr>
            <w:tcW w:w="1680" w:type="dxa"/>
            <w:vAlign w:val="center"/>
          </w:tcPr>
          <w:p w14:paraId="099165EC" w14:textId="77777777" w:rsidR="009F7012" w:rsidRDefault="00000000">
            <w:pPr>
              <w:jc w:val="right"/>
            </w:pPr>
            <w:r>
              <w:rPr>
                <w:sz w:val="16"/>
              </w:rPr>
              <w:t>14,438.3</w:t>
            </w:r>
          </w:p>
        </w:tc>
      </w:tr>
      <w:tr w:rsidR="009F7012" w14:paraId="39E40F11" w14:textId="77777777">
        <w:trPr>
          <w:jc w:val="center"/>
        </w:trPr>
        <w:tc>
          <w:tcPr>
            <w:tcW w:w="1680" w:type="dxa"/>
            <w:vAlign w:val="center"/>
          </w:tcPr>
          <w:p w14:paraId="52E18DC3" w14:textId="77777777" w:rsidR="009F7012" w:rsidRDefault="00000000">
            <w:r>
              <w:rPr>
                <w:b/>
                <w:color w:val="5B2C83"/>
                <w:sz w:val="16"/>
              </w:rPr>
              <w:t>Net Profit</w:t>
            </w:r>
          </w:p>
        </w:tc>
        <w:tc>
          <w:tcPr>
            <w:tcW w:w="1680" w:type="dxa"/>
            <w:vAlign w:val="center"/>
          </w:tcPr>
          <w:p w14:paraId="32086621" w14:textId="77777777" w:rsidR="009F7012" w:rsidRDefault="00000000">
            <w:pPr>
              <w:jc w:val="right"/>
            </w:pPr>
            <w:r>
              <w:rPr>
                <w:sz w:val="16"/>
              </w:rPr>
              <w:t>11,594.7</w:t>
            </w:r>
          </w:p>
        </w:tc>
        <w:tc>
          <w:tcPr>
            <w:tcW w:w="1680" w:type="dxa"/>
            <w:vAlign w:val="center"/>
          </w:tcPr>
          <w:p w14:paraId="0742D63C" w14:textId="77777777" w:rsidR="009F7012" w:rsidRDefault="00000000">
            <w:pPr>
              <w:jc w:val="right"/>
            </w:pPr>
            <w:r>
              <w:rPr>
                <w:sz w:val="16"/>
              </w:rPr>
              <w:t>12,386.9</w:t>
            </w:r>
          </w:p>
        </w:tc>
        <w:tc>
          <w:tcPr>
            <w:tcW w:w="1680" w:type="dxa"/>
            <w:vAlign w:val="center"/>
          </w:tcPr>
          <w:p w14:paraId="2A2171E6" w14:textId="77777777" w:rsidR="009F7012" w:rsidRDefault="00000000">
            <w:pPr>
              <w:jc w:val="right"/>
            </w:pPr>
            <w:r>
              <w:rPr>
                <w:sz w:val="16"/>
              </w:rPr>
              <w:t>13,419.5</w:t>
            </w:r>
          </w:p>
        </w:tc>
        <w:tc>
          <w:tcPr>
            <w:tcW w:w="1680" w:type="dxa"/>
            <w:vAlign w:val="center"/>
          </w:tcPr>
          <w:p w14:paraId="601B3D93" w14:textId="77777777" w:rsidR="009F7012" w:rsidRDefault="00000000">
            <w:pPr>
              <w:jc w:val="right"/>
            </w:pPr>
            <w:r>
              <w:rPr>
                <w:sz w:val="16"/>
              </w:rPr>
              <w:t>24,916.2</w:t>
            </w:r>
          </w:p>
        </w:tc>
        <w:tc>
          <w:tcPr>
            <w:tcW w:w="1680" w:type="dxa"/>
            <w:vAlign w:val="center"/>
          </w:tcPr>
          <w:p w14:paraId="10161303" w14:textId="77777777" w:rsidR="009F7012" w:rsidRDefault="00000000">
            <w:pPr>
              <w:jc w:val="right"/>
            </w:pPr>
            <w:r>
              <w:rPr>
                <w:sz w:val="16"/>
              </w:rPr>
              <w:t>15,134.9</w:t>
            </w:r>
          </w:p>
        </w:tc>
      </w:tr>
      <w:tr w:rsidR="009F7012" w14:paraId="5F2F6321" w14:textId="77777777">
        <w:trPr>
          <w:jc w:val="center"/>
        </w:trPr>
        <w:tc>
          <w:tcPr>
            <w:tcW w:w="1680" w:type="dxa"/>
            <w:vAlign w:val="center"/>
          </w:tcPr>
          <w:p w14:paraId="7D22C2C2" w14:textId="77777777" w:rsidR="009F7012" w:rsidRDefault="00000000">
            <w:r>
              <w:rPr>
                <w:b/>
                <w:color w:val="5B2C83"/>
                <w:sz w:val="16"/>
              </w:rPr>
              <w:t>Operating Cash Flow</w:t>
            </w:r>
          </w:p>
        </w:tc>
        <w:tc>
          <w:tcPr>
            <w:tcW w:w="1680" w:type="dxa"/>
            <w:vAlign w:val="center"/>
          </w:tcPr>
          <w:p w14:paraId="39968689" w14:textId="77777777" w:rsidR="009F7012" w:rsidRDefault="00000000">
            <w:pPr>
              <w:jc w:val="right"/>
            </w:pPr>
            <w:r>
              <w:rPr>
                <w:sz w:val="16"/>
              </w:rPr>
              <w:t>11,220.2</w:t>
            </w:r>
          </w:p>
        </w:tc>
        <w:tc>
          <w:tcPr>
            <w:tcW w:w="1680" w:type="dxa"/>
            <w:vAlign w:val="center"/>
          </w:tcPr>
          <w:p w14:paraId="5EB40B90" w14:textId="77777777" w:rsidR="009F7012" w:rsidRDefault="00000000">
            <w:pPr>
              <w:jc w:val="right"/>
            </w:pPr>
            <w:r>
              <w:rPr>
                <w:sz w:val="16"/>
              </w:rPr>
              <w:t>26,354.4</w:t>
            </w:r>
          </w:p>
        </w:tc>
        <w:tc>
          <w:tcPr>
            <w:tcW w:w="1680" w:type="dxa"/>
            <w:vAlign w:val="center"/>
          </w:tcPr>
          <w:p w14:paraId="3C2C6C54" w14:textId="77777777" w:rsidR="009F7012" w:rsidRDefault="00000000">
            <w:pPr>
              <w:jc w:val="right"/>
            </w:pPr>
            <w:r>
              <w:rPr>
                <w:sz w:val="16"/>
              </w:rPr>
              <w:t>22,417.6</w:t>
            </w:r>
          </w:p>
        </w:tc>
        <w:tc>
          <w:tcPr>
            <w:tcW w:w="1680" w:type="dxa"/>
            <w:vAlign w:val="center"/>
          </w:tcPr>
          <w:p w14:paraId="0F44A444" w14:textId="77777777" w:rsidR="009F7012" w:rsidRDefault="00000000">
            <w:pPr>
              <w:jc w:val="right"/>
            </w:pPr>
            <w:r>
              <w:rPr>
                <w:sz w:val="16"/>
              </w:rPr>
              <w:t>19,885.3</w:t>
            </w:r>
          </w:p>
        </w:tc>
        <w:tc>
          <w:tcPr>
            <w:tcW w:w="1680" w:type="dxa"/>
            <w:vAlign w:val="center"/>
          </w:tcPr>
          <w:p w14:paraId="575E7EB2" w14:textId="77777777" w:rsidR="009F7012" w:rsidRDefault="00000000">
            <w:pPr>
              <w:jc w:val="right"/>
            </w:pPr>
            <w:r>
              <w:rPr>
                <w:sz w:val="16"/>
              </w:rPr>
              <w:t>18,283.2</w:t>
            </w:r>
          </w:p>
        </w:tc>
      </w:tr>
      <w:tr w:rsidR="009F7012" w14:paraId="376B41C4" w14:textId="77777777">
        <w:trPr>
          <w:jc w:val="center"/>
        </w:trPr>
        <w:tc>
          <w:tcPr>
            <w:tcW w:w="1680" w:type="dxa"/>
            <w:vAlign w:val="center"/>
          </w:tcPr>
          <w:p w14:paraId="37FADB7B" w14:textId="77777777" w:rsidR="009F7012" w:rsidRDefault="00000000">
            <w:r>
              <w:rPr>
                <w:b/>
                <w:color w:val="5B2C83"/>
                <w:sz w:val="16"/>
              </w:rPr>
              <w:t>Total Assets</w:t>
            </w:r>
          </w:p>
        </w:tc>
        <w:tc>
          <w:tcPr>
            <w:tcW w:w="1680" w:type="dxa"/>
            <w:vAlign w:val="center"/>
          </w:tcPr>
          <w:p w14:paraId="2DC2C624" w14:textId="77777777" w:rsidR="009F7012" w:rsidRDefault="00000000">
            <w:pPr>
              <w:jc w:val="right"/>
            </w:pPr>
            <w:r>
              <w:rPr>
                <w:sz w:val="16"/>
              </w:rPr>
              <w:t>121,972.1</w:t>
            </w:r>
          </w:p>
        </w:tc>
        <w:tc>
          <w:tcPr>
            <w:tcW w:w="1680" w:type="dxa"/>
            <w:vAlign w:val="center"/>
          </w:tcPr>
          <w:p w14:paraId="24381F5B" w14:textId="77777777" w:rsidR="009F7012" w:rsidRDefault="00000000">
            <w:pPr>
              <w:jc w:val="right"/>
            </w:pPr>
            <w:r>
              <w:rPr>
                <w:sz w:val="16"/>
              </w:rPr>
              <w:t>137,220.0</w:t>
            </w:r>
          </w:p>
        </w:tc>
        <w:tc>
          <w:tcPr>
            <w:tcW w:w="1680" w:type="dxa"/>
            <w:vAlign w:val="center"/>
          </w:tcPr>
          <w:p w14:paraId="1817BC74" w14:textId="77777777" w:rsidR="009F7012" w:rsidRDefault="00000000">
            <w:pPr>
              <w:jc w:val="right"/>
            </w:pPr>
            <w:r>
              <w:rPr>
                <w:sz w:val="16"/>
              </w:rPr>
              <w:t>159,682.8</w:t>
            </w:r>
          </w:p>
        </w:tc>
        <w:tc>
          <w:tcPr>
            <w:tcW w:w="1680" w:type="dxa"/>
            <w:vAlign w:val="center"/>
          </w:tcPr>
          <w:p w14:paraId="61A5722C" w14:textId="77777777" w:rsidR="009F7012" w:rsidRDefault="00000000">
            <w:pPr>
              <w:jc w:val="right"/>
            </w:pPr>
            <w:r>
              <w:rPr>
                <w:sz w:val="16"/>
              </w:rPr>
              <w:t>160,638.1</w:t>
            </w:r>
          </w:p>
        </w:tc>
        <w:tc>
          <w:tcPr>
            <w:tcW w:w="1680" w:type="dxa"/>
            <w:vAlign w:val="center"/>
          </w:tcPr>
          <w:p w14:paraId="2319FF7E" w14:textId="77777777" w:rsidR="009F7012" w:rsidRDefault="00000000">
            <w:pPr>
              <w:jc w:val="right"/>
            </w:pPr>
            <w:r>
              <w:rPr>
                <w:sz w:val="16"/>
              </w:rPr>
              <w:t>157,476.7</w:t>
            </w:r>
          </w:p>
        </w:tc>
      </w:tr>
    </w:tbl>
    <w:p w14:paraId="28C6D080" w14:textId="77777777" w:rsidR="009F7012" w:rsidRDefault="00000000">
      <w:pPr>
        <w:pStyle w:val="Heading1"/>
        <w:spacing w:before="240" w:after="120"/>
      </w:pPr>
      <w:r>
        <w:rPr>
          <w:rFonts w:ascii="Aptos Display" w:hAnsi="Aptos Display"/>
        </w:rPr>
        <w:t>3. Profitability and Cash Flow Interpretation</w:t>
      </w:r>
    </w:p>
    <w:p w14:paraId="6E397F3C" w14:textId="77777777" w:rsidR="009F7012" w:rsidRDefault="00000000">
      <w:pPr>
        <w:pStyle w:val="Heading2"/>
        <w:spacing w:before="240" w:after="120"/>
      </w:pPr>
      <w:r>
        <w:rPr>
          <w:rFonts w:ascii="Aptos Display" w:hAnsi="Aptos Display"/>
        </w:rPr>
        <w:t>Profitability</w:t>
      </w:r>
    </w:p>
    <w:p w14:paraId="2ED31E9A" w14:textId="77777777" w:rsidR="009F7012" w:rsidRDefault="00000000">
      <w:pPr>
        <w:spacing w:after="120" w:line="259" w:lineRule="auto"/>
      </w:pPr>
      <w:r>
        <w:t>Gross margin decreased from 53.6% in 2021 to 48.4% in 2025. Operating margin decreased from 20.8% to 18.6%. Net margin, however, was 18.4% in 2021 and 19.4% in 2025, with a significant 2024 peak.</w:t>
      </w:r>
    </w:p>
    <w:p w14:paraId="7449D2E2" w14:textId="77777777" w:rsidR="009F7012" w:rsidRDefault="00000000">
      <w:pPr>
        <w:spacing w:after="120" w:line="259" w:lineRule="auto"/>
      </w:pPr>
      <w:r>
        <w:t>Board interpretation: the divergence between operating profit, operating margin and consolidated net profit means that a revenue-only assessment is insufficient. The Board should review the bridge from operating profit to consolidated net profit, including other income / expense, tax, discontinued operations and any one-off items disclosed in the annual-report notes.</w:t>
      </w:r>
    </w:p>
    <w:p w14:paraId="4F2C193E" w14:textId="77777777" w:rsidR="009F7012" w:rsidRDefault="00000000">
      <w:pPr>
        <w:pStyle w:val="Heading2"/>
        <w:spacing w:before="240" w:after="120"/>
      </w:pPr>
      <w:r>
        <w:rPr>
          <w:rFonts w:ascii="Aptos Display" w:hAnsi="Aptos Display"/>
        </w:rPr>
        <w:t>Cash flow</w:t>
      </w:r>
    </w:p>
    <w:p w14:paraId="69D14426" w14:textId="77777777" w:rsidR="009F7012" w:rsidRDefault="00000000">
      <w:pPr>
        <w:spacing w:after="120" w:line="259" w:lineRule="auto"/>
      </w:pPr>
      <w:r>
        <w:t>Operating cash flow remained positive in all five years, ranging from SAR 11,220.2 million to SAR 26,354.4 million. Investing cash flow was negative from 2021 through 2024 and positive in 2025; this movement should be read alongside the investing-activity notes rather than treated as free cash flow.</w:t>
      </w:r>
    </w:p>
    <w:p w14:paraId="3CBBAC9A" w14:textId="77777777" w:rsidR="00F84367" w:rsidRDefault="00F84367" w:rsidP="00912CEB">
      <w:pPr>
        <w:spacing w:after="120" w:line="259" w:lineRule="auto"/>
      </w:pPr>
      <w:r>
        <w:t>Important: Free Cash Flow is not calculated because Capital Expenditure is not consistently isolated and comparable for all years. Therefore, the report presents operational, investment, and financing flows as received, without the invention of FCF.</w:t>
      </w:r>
    </w:p>
    <w:p w14:paraId="0772D027" w14:textId="77777777" w:rsidR="009F7012" w:rsidRDefault="00000000">
      <w:pPr>
        <w:pStyle w:val="Heading1"/>
        <w:spacing w:before="240" w:after="120"/>
      </w:pPr>
      <w:r>
        <w:rPr>
          <w:rFonts w:ascii="Aptos Display" w:hAnsi="Aptos Display"/>
        </w:rPr>
        <w:lastRenderedPageBreak/>
        <w:t>4. Financial Position, Liquidity and Leverage</w:t>
      </w:r>
    </w:p>
    <w:p w14:paraId="5AA81F9D" w14:textId="77777777" w:rsidR="009F7012" w:rsidRDefault="00000000">
      <w:pPr>
        <w:spacing w:after="120" w:line="259" w:lineRule="auto"/>
      </w:pPr>
      <w:r>
        <w:t>The balance sheet expanded materially from 2021 to 2024 before total assets moderated in 2025. The extracted statements reconcile as Total Assets = Total Liabilities + Total Equity for each year in the model.</w:t>
      </w:r>
    </w:p>
    <w:tbl>
      <w:tblPr>
        <w:tblStyle w:val="TableGrid"/>
        <w:tblW w:w="0" w:type="auto"/>
        <w:jc w:val="center"/>
        <w:tblLook w:val="04A0" w:firstRow="1" w:lastRow="0" w:firstColumn="1" w:lastColumn="0" w:noHBand="0" w:noVBand="1"/>
      </w:tblPr>
      <w:tblGrid>
        <w:gridCol w:w="1679"/>
        <w:gridCol w:w="1679"/>
        <w:gridCol w:w="1678"/>
        <w:gridCol w:w="1678"/>
        <w:gridCol w:w="1678"/>
        <w:gridCol w:w="1678"/>
      </w:tblGrid>
      <w:tr w:rsidR="009F7012" w14:paraId="0142D89C" w14:textId="77777777">
        <w:trPr>
          <w:jc w:val="center"/>
        </w:trPr>
        <w:tc>
          <w:tcPr>
            <w:tcW w:w="1680" w:type="dxa"/>
            <w:shd w:val="clear" w:color="auto" w:fill="5B6573"/>
            <w:vAlign w:val="center"/>
          </w:tcPr>
          <w:p w14:paraId="7ED1B3C1" w14:textId="77777777" w:rsidR="009F7012" w:rsidRDefault="00000000">
            <w:pPr>
              <w:jc w:val="center"/>
            </w:pPr>
            <w:r>
              <w:rPr>
                <w:b/>
                <w:color w:val="FFFFFF"/>
                <w:sz w:val="16"/>
              </w:rPr>
              <w:t>Balance-sheet item</w:t>
            </w:r>
          </w:p>
        </w:tc>
        <w:tc>
          <w:tcPr>
            <w:tcW w:w="1680" w:type="dxa"/>
            <w:shd w:val="clear" w:color="auto" w:fill="5B6573"/>
            <w:vAlign w:val="center"/>
          </w:tcPr>
          <w:p w14:paraId="4DE9FEA1" w14:textId="77777777" w:rsidR="009F7012" w:rsidRDefault="00000000">
            <w:pPr>
              <w:jc w:val="center"/>
            </w:pPr>
            <w:r>
              <w:rPr>
                <w:b/>
                <w:color w:val="FFFFFF"/>
                <w:sz w:val="16"/>
              </w:rPr>
              <w:t>2021</w:t>
            </w:r>
          </w:p>
        </w:tc>
        <w:tc>
          <w:tcPr>
            <w:tcW w:w="1680" w:type="dxa"/>
            <w:shd w:val="clear" w:color="auto" w:fill="5B6573"/>
            <w:vAlign w:val="center"/>
          </w:tcPr>
          <w:p w14:paraId="24DA48B9" w14:textId="77777777" w:rsidR="009F7012" w:rsidRDefault="00000000">
            <w:pPr>
              <w:jc w:val="center"/>
            </w:pPr>
            <w:r>
              <w:rPr>
                <w:b/>
                <w:color w:val="FFFFFF"/>
                <w:sz w:val="16"/>
              </w:rPr>
              <w:t>2022</w:t>
            </w:r>
          </w:p>
        </w:tc>
        <w:tc>
          <w:tcPr>
            <w:tcW w:w="1680" w:type="dxa"/>
            <w:shd w:val="clear" w:color="auto" w:fill="5B6573"/>
            <w:vAlign w:val="center"/>
          </w:tcPr>
          <w:p w14:paraId="652499B3" w14:textId="77777777" w:rsidR="009F7012" w:rsidRDefault="00000000">
            <w:pPr>
              <w:jc w:val="center"/>
            </w:pPr>
            <w:r>
              <w:rPr>
                <w:b/>
                <w:color w:val="FFFFFF"/>
                <w:sz w:val="16"/>
              </w:rPr>
              <w:t>2023</w:t>
            </w:r>
          </w:p>
        </w:tc>
        <w:tc>
          <w:tcPr>
            <w:tcW w:w="1680" w:type="dxa"/>
            <w:shd w:val="clear" w:color="auto" w:fill="5B6573"/>
            <w:vAlign w:val="center"/>
          </w:tcPr>
          <w:p w14:paraId="48296695" w14:textId="77777777" w:rsidR="009F7012" w:rsidRDefault="00000000">
            <w:pPr>
              <w:jc w:val="center"/>
            </w:pPr>
            <w:r>
              <w:rPr>
                <w:b/>
                <w:color w:val="FFFFFF"/>
                <w:sz w:val="16"/>
              </w:rPr>
              <w:t>2024</w:t>
            </w:r>
          </w:p>
        </w:tc>
        <w:tc>
          <w:tcPr>
            <w:tcW w:w="1680" w:type="dxa"/>
            <w:shd w:val="clear" w:color="auto" w:fill="5B6573"/>
            <w:vAlign w:val="center"/>
          </w:tcPr>
          <w:p w14:paraId="775133F3" w14:textId="77777777" w:rsidR="009F7012" w:rsidRDefault="00000000">
            <w:pPr>
              <w:jc w:val="center"/>
            </w:pPr>
            <w:r>
              <w:rPr>
                <w:b/>
                <w:color w:val="FFFFFF"/>
                <w:sz w:val="16"/>
              </w:rPr>
              <w:t>2025</w:t>
            </w:r>
          </w:p>
        </w:tc>
      </w:tr>
      <w:tr w:rsidR="009F7012" w14:paraId="2CF7DDE1" w14:textId="77777777">
        <w:trPr>
          <w:jc w:val="center"/>
        </w:trPr>
        <w:tc>
          <w:tcPr>
            <w:tcW w:w="1680" w:type="dxa"/>
            <w:vAlign w:val="center"/>
          </w:tcPr>
          <w:p w14:paraId="7C7C785D" w14:textId="77777777" w:rsidR="009F7012" w:rsidRDefault="00000000">
            <w:r>
              <w:rPr>
                <w:b/>
                <w:color w:val="5B2C83"/>
                <w:sz w:val="16"/>
              </w:rPr>
              <w:t>Total Assets</w:t>
            </w:r>
          </w:p>
        </w:tc>
        <w:tc>
          <w:tcPr>
            <w:tcW w:w="1680" w:type="dxa"/>
            <w:vAlign w:val="center"/>
          </w:tcPr>
          <w:p w14:paraId="4E22819F" w14:textId="77777777" w:rsidR="009F7012" w:rsidRDefault="00000000">
            <w:pPr>
              <w:jc w:val="right"/>
            </w:pPr>
            <w:r>
              <w:rPr>
                <w:sz w:val="16"/>
              </w:rPr>
              <w:t>121,972.1</w:t>
            </w:r>
          </w:p>
        </w:tc>
        <w:tc>
          <w:tcPr>
            <w:tcW w:w="1680" w:type="dxa"/>
            <w:vAlign w:val="center"/>
          </w:tcPr>
          <w:p w14:paraId="1CD37D1E" w14:textId="77777777" w:rsidR="009F7012" w:rsidRDefault="00000000">
            <w:pPr>
              <w:jc w:val="right"/>
            </w:pPr>
            <w:r>
              <w:rPr>
                <w:sz w:val="16"/>
              </w:rPr>
              <w:t>137,220.0</w:t>
            </w:r>
          </w:p>
        </w:tc>
        <w:tc>
          <w:tcPr>
            <w:tcW w:w="1680" w:type="dxa"/>
            <w:vAlign w:val="center"/>
          </w:tcPr>
          <w:p w14:paraId="78739EE5" w14:textId="77777777" w:rsidR="009F7012" w:rsidRDefault="00000000">
            <w:pPr>
              <w:jc w:val="right"/>
            </w:pPr>
            <w:r>
              <w:rPr>
                <w:sz w:val="16"/>
              </w:rPr>
              <w:t>159,682.8</w:t>
            </w:r>
          </w:p>
        </w:tc>
        <w:tc>
          <w:tcPr>
            <w:tcW w:w="1680" w:type="dxa"/>
            <w:vAlign w:val="center"/>
          </w:tcPr>
          <w:p w14:paraId="06A39D79" w14:textId="77777777" w:rsidR="009F7012" w:rsidRDefault="00000000">
            <w:pPr>
              <w:jc w:val="right"/>
            </w:pPr>
            <w:r>
              <w:rPr>
                <w:sz w:val="16"/>
              </w:rPr>
              <w:t>160,638.1</w:t>
            </w:r>
          </w:p>
        </w:tc>
        <w:tc>
          <w:tcPr>
            <w:tcW w:w="1680" w:type="dxa"/>
            <w:vAlign w:val="center"/>
          </w:tcPr>
          <w:p w14:paraId="4DDCDC2F" w14:textId="77777777" w:rsidR="009F7012" w:rsidRDefault="00000000">
            <w:pPr>
              <w:jc w:val="right"/>
            </w:pPr>
            <w:r>
              <w:rPr>
                <w:sz w:val="16"/>
              </w:rPr>
              <w:t>157,476.7</w:t>
            </w:r>
          </w:p>
        </w:tc>
      </w:tr>
      <w:tr w:rsidR="009F7012" w14:paraId="2C54624D" w14:textId="77777777">
        <w:trPr>
          <w:jc w:val="center"/>
        </w:trPr>
        <w:tc>
          <w:tcPr>
            <w:tcW w:w="1680" w:type="dxa"/>
            <w:vAlign w:val="center"/>
          </w:tcPr>
          <w:p w14:paraId="3C07BC4F" w14:textId="77777777" w:rsidR="009F7012" w:rsidRDefault="00000000">
            <w:r>
              <w:rPr>
                <w:b/>
                <w:color w:val="5B2C83"/>
                <w:sz w:val="16"/>
              </w:rPr>
              <w:t>Total Liabilities</w:t>
            </w:r>
          </w:p>
        </w:tc>
        <w:tc>
          <w:tcPr>
            <w:tcW w:w="1680" w:type="dxa"/>
            <w:vAlign w:val="center"/>
          </w:tcPr>
          <w:p w14:paraId="0FCFE5B0" w14:textId="77777777" w:rsidR="009F7012" w:rsidRDefault="00000000">
            <w:pPr>
              <w:jc w:val="right"/>
            </w:pPr>
            <w:r>
              <w:rPr>
                <w:sz w:val="16"/>
              </w:rPr>
              <w:t>56,705.1</w:t>
            </w:r>
          </w:p>
        </w:tc>
        <w:tc>
          <w:tcPr>
            <w:tcW w:w="1680" w:type="dxa"/>
            <w:vAlign w:val="center"/>
          </w:tcPr>
          <w:p w14:paraId="35AB5340" w14:textId="77777777" w:rsidR="009F7012" w:rsidRDefault="00000000">
            <w:pPr>
              <w:jc w:val="right"/>
            </w:pPr>
            <w:r>
              <w:rPr>
                <w:sz w:val="16"/>
              </w:rPr>
              <w:t>61,194.4</w:t>
            </w:r>
          </w:p>
        </w:tc>
        <w:tc>
          <w:tcPr>
            <w:tcW w:w="1680" w:type="dxa"/>
            <w:vAlign w:val="center"/>
          </w:tcPr>
          <w:p w14:paraId="08A58E94" w14:textId="77777777" w:rsidR="009F7012" w:rsidRDefault="00000000">
            <w:pPr>
              <w:jc w:val="right"/>
            </w:pPr>
            <w:r>
              <w:rPr>
                <w:sz w:val="16"/>
              </w:rPr>
              <w:t>78,167.6</w:t>
            </w:r>
          </w:p>
        </w:tc>
        <w:tc>
          <w:tcPr>
            <w:tcW w:w="1680" w:type="dxa"/>
            <w:vAlign w:val="center"/>
          </w:tcPr>
          <w:p w14:paraId="525B6C73" w14:textId="77777777" w:rsidR="009F7012" w:rsidRDefault="00000000">
            <w:pPr>
              <w:jc w:val="right"/>
            </w:pPr>
            <w:r>
              <w:rPr>
                <w:sz w:val="16"/>
              </w:rPr>
              <w:t>68,153.1</w:t>
            </w:r>
          </w:p>
        </w:tc>
        <w:tc>
          <w:tcPr>
            <w:tcW w:w="1680" w:type="dxa"/>
            <w:vAlign w:val="center"/>
          </w:tcPr>
          <w:p w14:paraId="185C69D2" w14:textId="77777777" w:rsidR="009F7012" w:rsidRDefault="00000000">
            <w:pPr>
              <w:jc w:val="right"/>
            </w:pPr>
            <w:r>
              <w:rPr>
                <w:sz w:val="16"/>
              </w:rPr>
              <w:t>71,090.3</w:t>
            </w:r>
          </w:p>
        </w:tc>
      </w:tr>
      <w:tr w:rsidR="009F7012" w14:paraId="641B597D" w14:textId="77777777">
        <w:trPr>
          <w:jc w:val="center"/>
        </w:trPr>
        <w:tc>
          <w:tcPr>
            <w:tcW w:w="1680" w:type="dxa"/>
            <w:vAlign w:val="center"/>
          </w:tcPr>
          <w:p w14:paraId="3C4BE29D" w14:textId="77777777" w:rsidR="009F7012" w:rsidRDefault="00000000">
            <w:r>
              <w:rPr>
                <w:b/>
                <w:color w:val="5B2C83"/>
                <w:sz w:val="16"/>
              </w:rPr>
              <w:t>Total Equity</w:t>
            </w:r>
          </w:p>
        </w:tc>
        <w:tc>
          <w:tcPr>
            <w:tcW w:w="1680" w:type="dxa"/>
            <w:vAlign w:val="center"/>
          </w:tcPr>
          <w:p w14:paraId="4641752E" w14:textId="77777777" w:rsidR="009F7012" w:rsidRDefault="00000000">
            <w:pPr>
              <w:jc w:val="right"/>
            </w:pPr>
            <w:r>
              <w:rPr>
                <w:sz w:val="16"/>
              </w:rPr>
              <w:t>71,386.0</w:t>
            </w:r>
          </w:p>
        </w:tc>
        <w:tc>
          <w:tcPr>
            <w:tcW w:w="1680" w:type="dxa"/>
            <w:vAlign w:val="center"/>
          </w:tcPr>
          <w:p w14:paraId="58393EE0" w14:textId="77777777" w:rsidR="009F7012" w:rsidRDefault="00000000">
            <w:pPr>
              <w:jc w:val="right"/>
            </w:pPr>
            <w:r>
              <w:rPr>
                <w:sz w:val="16"/>
              </w:rPr>
              <w:t>76,025.6</w:t>
            </w:r>
          </w:p>
        </w:tc>
        <w:tc>
          <w:tcPr>
            <w:tcW w:w="1680" w:type="dxa"/>
            <w:vAlign w:val="center"/>
          </w:tcPr>
          <w:p w14:paraId="272DF70F" w14:textId="77777777" w:rsidR="009F7012" w:rsidRDefault="00000000">
            <w:pPr>
              <w:jc w:val="right"/>
            </w:pPr>
            <w:r>
              <w:rPr>
                <w:sz w:val="16"/>
              </w:rPr>
              <w:t>81,515.2</w:t>
            </w:r>
          </w:p>
        </w:tc>
        <w:tc>
          <w:tcPr>
            <w:tcW w:w="1680" w:type="dxa"/>
            <w:vAlign w:val="center"/>
          </w:tcPr>
          <w:p w14:paraId="296BD291" w14:textId="77777777" w:rsidR="009F7012" w:rsidRDefault="00000000">
            <w:pPr>
              <w:jc w:val="right"/>
            </w:pPr>
            <w:r>
              <w:rPr>
                <w:sz w:val="16"/>
              </w:rPr>
              <w:t>92,485.0</w:t>
            </w:r>
          </w:p>
        </w:tc>
        <w:tc>
          <w:tcPr>
            <w:tcW w:w="1680" w:type="dxa"/>
            <w:vAlign w:val="center"/>
          </w:tcPr>
          <w:p w14:paraId="2879CF88" w14:textId="77777777" w:rsidR="009F7012" w:rsidRDefault="00000000">
            <w:pPr>
              <w:jc w:val="right"/>
            </w:pPr>
            <w:r>
              <w:rPr>
                <w:sz w:val="16"/>
              </w:rPr>
              <w:t>86,386.3</w:t>
            </w:r>
          </w:p>
        </w:tc>
      </w:tr>
      <w:tr w:rsidR="009F7012" w14:paraId="624C61A7" w14:textId="77777777">
        <w:trPr>
          <w:jc w:val="center"/>
        </w:trPr>
        <w:tc>
          <w:tcPr>
            <w:tcW w:w="1680" w:type="dxa"/>
            <w:vAlign w:val="center"/>
          </w:tcPr>
          <w:p w14:paraId="0844FC63" w14:textId="77777777" w:rsidR="009F7012" w:rsidRDefault="00000000">
            <w:r>
              <w:rPr>
                <w:b/>
                <w:color w:val="5B2C83"/>
                <w:sz w:val="16"/>
              </w:rPr>
              <w:t>Current Assets</w:t>
            </w:r>
          </w:p>
        </w:tc>
        <w:tc>
          <w:tcPr>
            <w:tcW w:w="1680" w:type="dxa"/>
            <w:vAlign w:val="center"/>
          </w:tcPr>
          <w:p w14:paraId="59930BA0" w14:textId="77777777" w:rsidR="009F7012" w:rsidRDefault="00000000">
            <w:pPr>
              <w:jc w:val="right"/>
            </w:pPr>
            <w:r>
              <w:rPr>
                <w:sz w:val="16"/>
              </w:rPr>
              <w:t>51,468.1</w:t>
            </w:r>
          </w:p>
        </w:tc>
        <w:tc>
          <w:tcPr>
            <w:tcW w:w="1680" w:type="dxa"/>
            <w:vAlign w:val="center"/>
          </w:tcPr>
          <w:p w14:paraId="7931D2A9" w14:textId="77777777" w:rsidR="009F7012" w:rsidRDefault="00000000">
            <w:pPr>
              <w:jc w:val="right"/>
            </w:pPr>
            <w:r>
              <w:rPr>
                <w:sz w:val="16"/>
              </w:rPr>
              <w:t>60,933.2</w:t>
            </w:r>
          </w:p>
        </w:tc>
        <w:tc>
          <w:tcPr>
            <w:tcW w:w="1680" w:type="dxa"/>
            <w:vAlign w:val="center"/>
          </w:tcPr>
          <w:p w14:paraId="076B9FEC" w14:textId="77777777" w:rsidR="009F7012" w:rsidRDefault="00000000">
            <w:pPr>
              <w:jc w:val="right"/>
            </w:pPr>
            <w:r>
              <w:rPr>
                <w:sz w:val="16"/>
              </w:rPr>
              <w:t>71,224.1</w:t>
            </w:r>
          </w:p>
        </w:tc>
        <w:tc>
          <w:tcPr>
            <w:tcW w:w="1680" w:type="dxa"/>
            <w:vAlign w:val="center"/>
          </w:tcPr>
          <w:p w14:paraId="46E2E465" w14:textId="77777777" w:rsidR="009F7012" w:rsidRDefault="00000000">
            <w:pPr>
              <w:jc w:val="right"/>
            </w:pPr>
            <w:r>
              <w:rPr>
                <w:sz w:val="16"/>
              </w:rPr>
              <w:t>72,745.1</w:t>
            </w:r>
          </w:p>
        </w:tc>
        <w:tc>
          <w:tcPr>
            <w:tcW w:w="1680" w:type="dxa"/>
            <w:vAlign w:val="center"/>
          </w:tcPr>
          <w:p w14:paraId="0960D15C" w14:textId="77777777" w:rsidR="009F7012" w:rsidRDefault="00000000">
            <w:pPr>
              <w:jc w:val="right"/>
            </w:pPr>
            <w:r>
              <w:rPr>
                <w:sz w:val="16"/>
              </w:rPr>
              <w:t>58,015.8</w:t>
            </w:r>
          </w:p>
        </w:tc>
      </w:tr>
      <w:tr w:rsidR="009F7012" w14:paraId="072689BC" w14:textId="77777777">
        <w:trPr>
          <w:jc w:val="center"/>
        </w:trPr>
        <w:tc>
          <w:tcPr>
            <w:tcW w:w="1680" w:type="dxa"/>
            <w:vAlign w:val="center"/>
          </w:tcPr>
          <w:p w14:paraId="274B3C74" w14:textId="77777777" w:rsidR="009F7012" w:rsidRDefault="00000000">
            <w:r>
              <w:rPr>
                <w:b/>
                <w:color w:val="5B2C83"/>
                <w:sz w:val="16"/>
              </w:rPr>
              <w:t>Current Liabilities</w:t>
            </w:r>
          </w:p>
        </w:tc>
        <w:tc>
          <w:tcPr>
            <w:tcW w:w="1680" w:type="dxa"/>
            <w:vAlign w:val="center"/>
          </w:tcPr>
          <w:p w14:paraId="0C5B007E" w14:textId="77777777" w:rsidR="009F7012" w:rsidRDefault="00000000">
            <w:pPr>
              <w:jc w:val="right"/>
            </w:pPr>
            <w:r>
              <w:rPr>
                <w:sz w:val="16"/>
              </w:rPr>
              <w:t>33,560.6</w:t>
            </w:r>
          </w:p>
        </w:tc>
        <w:tc>
          <w:tcPr>
            <w:tcW w:w="1680" w:type="dxa"/>
            <w:vAlign w:val="center"/>
          </w:tcPr>
          <w:p w14:paraId="1A2E86CA" w14:textId="77777777" w:rsidR="009F7012" w:rsidRDefault="00000000">
            <w:pPr>
              <w:jc w:val="right"/>
            </w:pPr>
            <w:r>
              <w:rPr>
                <w:sz w:val="16"/>
              </w:rPr>
              <w:t>36,400.2</w:t>
            </w:r>
          </w:p>
        </w:tc>
        <w:tc>
          <w:tcPr>
            <w:tcW w:w="1680" w:type="dxa"/>
            <w:vAlign w:val="center"/>
          </w:tcPr>
          <w:p w14:paraId="05F5C2E3" w14:textId="77777777" w:rsidR="009F7012" w:rsidRDefault="00000000">
            <w:pPr>
              <w:jc w:val="right"/>
            </w:pPr>
            <w:r>
              <w:rPr>
                <w:sz w:val="16"/>
              </w:rPr>
              <w:t>48,070.8</w:t>
            </w:r>
          </w:p>
        </w:tc>
        <w:tc>
          <w:tcPr>
            <w:tcW w:w="1680" w:type="dxa"/>
            <w:vAlign w:val="center"/>
          </w:tcPr>
          <w:p w14:paraId="4042273A" w14:textId="77777777" w:rsidR="009F7012" w:rsidRDefault="00000000">
            <w:pPr>
              <w:jc w:val="right"/>
            </w:pPr>
            <w:r>
              <w:rPr>
                <w:sz w:val="16"/>
              </w:rPr>
              <w:t>38,956.3</w:t>
            </w:r>
          </w:p>
        </w:tc>
        <w:tc>
          <w:tcPr>
            <w:tcW w:w="1680" w:type="dxa"/>
            <w:vAlign w:val="center"/>
          </w:tcPr>
          <w:p w14:paraId="44E7AEB7" w14:textId="77777777" w:rsidR="009F7012" w:rsidRDefault="00000000">
            <w:pPr>
              <w:jc w:val="right"/>
            </w:pPr>
            <w:r>
              <w:rPr>
                <w:sz w:val="16"/>
              </w:rPr>
              <w:t>40,172.6</w:t>
            </w:r>
          </w:p>
        </w:tc>
      </w:tr>
    </w:tbl>
    <w:p w14:paraId="6C7EB04F" w14:textId="77777777" w:rsidR="009F7012" w:rsidRDefault="00000000">
      <w:pPr>
        <w:pStyle w:val="Heading2"/>
        <w:spacing w:before="240" w:after="120"/>
      </w:pPr>
      <w:r>
        <w:rPr>
          <w:rFonts w:ascii="Aptos Display" w:hAnsi="Aptos Display"/>
        </w:rPr>
        <w:t>Ratio interpretation</w:t>
      </w:r>
    </w:p>
    <w:p w14:paraId="533EBDAF" w14:textId="77777777" w:rsidR="009F7012" w:rsidRDefault="00000000">
      <w:pPr>
        <w:pStyle w:val="ListBullet"/>
        <w:spacing w:after="60"/>
      </w:pPr>
      <w:r>
        <w:t>Current ratio was 1.44x in 2025. The ratio should be interpreted with the maturity profile, cash, undrawn facilities and operating working-capital cycle.</w:t>
      </w:r>
    </w:p>
    <w:p w14:paraId="28FFCD80" w14:textId="77777777" w:rsidR="009F7012" w:rsidRDefault="00000000">
      <w:pPr>
        <w:pStyle w:val="ListBullet"/>
        <w:spacing w:after="60"/>
      </w:pPr>
      <w:r>
        <w:t>Debt ratio, defined in this project as Total Liabilities / Total Assets, was 45.1% in 2025. This is not an interest-bearing debt ratio.</w:t>
      </w:r>
    </w:p>
    <w:p w14:paraId="787B62B1" w14:textId="77777777" w:rsidR="009F7012" w:rsidRDefault="00000000">
      <w:pPr>
        <w:pStyle w:val="ListBullet"/>
        <w:spacing w:after="60"/>
      </w:pPr>
      <w:r>
        <w:t>Liabilities-to-equity was 0.82x in 2025. The movement should be reviewed with changes in borrowings, provisions, lease liabilities and equity distributions.</w:t>
      </w:r>
    </w:p>
    <w:p w14:paraId="30860D2C" w14:textId="77777777" w:rsidR="009F7012" w:rsidRDefault="00000000">
      <w:pPr>
        <w:pStyle w:val="Heading1"/>
        <w:spacing w:before="240" w:after="120"/>
      </w:pPr>
      <w:r>
        <w:rPr>
          <w:rFonts w:ascii="Aptos Display" w:hAnsi="Aptos Display"/>
        </w:rPr>
        <w:t>5. Board-Level Implications and Recommended Actions</w:t>
      </w:r>
    </w:p>
    <w:p w14:paraId="21B427FA" w14:textId="77777777" w:rsidR="009F7012" w:rsidRDefault="00000000">
      <w:pPr>
        <w:spacing w:after="120" w:line="259" w:lineRule="auto"/>
      </w:pPr>
      <w:r>
        <w:t>The following actions are recommended for management follow-up. They are framed as questions and review priorities, not as unsupported causal conclusions.</w:t>
      </w:r>
    </w:p>
    <w:p w14:paraId="176E773E" w14:textId="77777777" w:rsidR="009F7012" w:rsidRDefault="00000000">
      <w:pPr>
        <w:spacing w:after="100"/>
      </w:pPr>
      <w:r>
        <w:rPr>
          <w:b/>
          <w:color w:val="5B2C83"/>
        </w:rPr>
        <w:t xml:space="preserve">1. Reconcile recurring profitability: </w:t>
      </w:r>
      <w:r>
        <w:t>Prepare a bridge from operating profit to consolidated net profit for 2024 and 2025, separating continuing operations, discontinued operations and material one-off items.</w:t>
      </w:r>
    </w:p>
    <w:p w14:paraId="03E13BB3" w14:textId="77777777" w:rsidR="009F7012" w:rsidRDefault="00000000">
      <w:pPr>
        <w:spacing w:after="100"/>
      </w:pPr>
      <w:r>
        <w:rPr>
          <w:b/>
          <w:color w:val="5B2C83"/>
        </w:rPr>
        <w:t xml:space="preserve">2. Explain the 2025 profit movement: </w:t>
      </w:r>
      <w:r>
        <w:t>Provide a concise variance analysis covering revenue, cost of revenue, operating expenses, other income / expense, tax and discontinued-operation impacts.</w:t>
      </w:r>
    </w:p>
    <w:p w14:paraId="72BC0203" w14:textId="77777777" w:rsidR="009F7012" w:rsidRDefault="00000000">
      <w:pPr>
        <w:spacing w:after="100"/>
      </w:pPr>
      <w:r>
        <w:rPr>
          <w:b/>
          <w:color w:val="5B2C83"/>
        </w:rPr>
        <w:t xml:space="preserve">3. Connect cash and balance-sheet movements: </w:t>
      </w:r>
      <w:r>
        <w:t>Link investing cash flow, financing cash flow, ending cash, borrowings, investments and asset disposals in one liquidity view.</w:t>
      </w:r>
    </w:p>
    <w:p w14:paraId="31A631F0" w14:textId="77777777" w:rsidR="009F7012" w:rsidRDefault="00000000">
      <w:pPr>
        <w:spacing w:after="100"/>
      </w:pPr>
      <w:r>
        <w:rPr>
          <w:b/>
          <w:color w:val="5B2C83"/>
        </w:rPr>
        <w:t xml:space="preserve">4. Strengthen KPI governance: </w:t>
      </w:r>
      <w:r>
        <w:t>Adopt one controlled KPI dictionary for revenue, profit, cash flow and ratios, with a clear distinction between reported figures and calculated indicators.</w:t>
      </w:r>
    </w:p>
    <w:p w14:paraId="77C400D9" w14:textId="77777777" w:rsidR="009F7012" w:rsidRDefault="00000000">
      <w:pPr>
        <w:pStyle w:val="Heading1"/>
        <w:spacing w:before="240" w:after="120"/>
      </w:pPr>
      <w:r>
        <w:rPr>
          <w:rFonts w:ascii="Aptos Display" w:hAnsi="Aptos Display"/>
        </w:rPr>
        <w:t>6. Project Explanation and Data Methodology</w:t>
      </w:r>
    </w:p>
    <w:p w14:paraId="35618C87" w14:textId="77777777" w:rsidR="009F7012" w:rsidRDefault="00000000">
      <w:pPr>
        <w:spacing w:after="120" w:line="259" w:lineRule="auto"/>
      </w:pPr>
      <w:r>
        <w:t>This project is an independent financial-analysis data pack and dashboard specification. It converts reported consolidated line items into a traceable fact table, calculates transparent ratios, validates core accounting relationships, and prepares the model for a Power BI dashboard.</w:t>
      </w:r>
    </w:p>
    <w:p w14:paraId="7A58EF15" w14:textId="77777777" w:rsidR="009F7012" w:rsidRDefault="00000000">
      <w:pPr>
        <w:pStyle w:val="Heading2"/>
        <w:spacing w:before="240" w:after="120"/>
      </w:pPr>
      <w:r>
        <w:rPr>
          <w:rFonts w:ascii="Aptos Display" w:hAnsi="Aptos Display"/>
        </w:rPr>
        <w:t>What each deliverable does</w:t>
      </w:r>
    </w:p>
    <w:p w14:paraId="40D8E2E1" w14:textId="77777777" w:rsidR="009F7012" w:rsidRDefault="00000000">
      <w:pPr>
        <w:pStyle w:val="ListBullet"/>
        <w:spacing w:after="60"/>
      </w:pPr>
      <w:r>
        <w:t>Excel workbook: source data, normalized Dashboard Data table, KPI Calculations, validation checks, data dictionary and source mapping.</w:t>
      </w:r>
    </w:p>
    <w:p w14:paraId="5B849B17" w14:textId="77777777" w:rsidR="009F7012" w:rsidRDefault="00000000">
      <w:pPr>
        <w:pStyle w:val="ListBullet"/>
        <w:spacing w:after="60"/>
      </w:pPr>
      <w:r>
        <w:t>Power BI layer: intended to provide interactive executive pages, slicers, trend charts, ratios and drillable explanations once built and saved in Power BI Desktop.</w:t>
      </w:r>
    </w:p>
    <w:p w14:paraId="46948822" w14:textId="66E955AB" w:rsidR="009F7012" w:rsidRDefault="00000000">
      <w:pPr>
        <w:pStyle w:val="ListBullet"/>
        <w:spacing w:after="60"/>
      </w:pPr>
      <w:r>
        <w:t xml:space="preserve">Board </w:t>
      </w:r>
      <w:r w:rsidR="00FE1C26">
        <w:t>report</w:t>
      </w:r>
      <w:r>
        <w:t xml:space="preserve"> translates the model into decision-oriented messages and recommended follow-up questions.</w:t>
      </w:r>
    </w:p>
    <w:p w14:paraId="08D59472" w14:textId="33A7583A" w:rsidR="00FE1C26" w:rsidRDefault="00FE1C26" w:rsidP="00FE1C26">
      <w:pPr>
        <w:pStyle w:val="ListBullet"/>
        <w:numPr>
          <w:ilvl w:val="0"/>
          <w:numId w:val="0"/>
        </w:numPr>
        <w:spacing w:after="60"/>
        <w:ind w:left="360"/>
      </w:pPr>
    </w:p>
    <w:p w14:paraId="4B3748E2" w14:textId="77777777" w:rsidR="009F7012" w:rsidRDefault="00000000">
      <w:pPr>
        <w:pStyle w:val="Heading2"/>
        <w:spacing w:before="240" w:after="120"/>
      </w:pPr>
      <w:r>
        <w:rPr>
          <w:rFonts w:ascii="Aptos Display" w:hAnsi="Aptos Display"/>
        </w:rPr>
        <w:lastRenderedPageBreak/>
        <w:t>Core KPI definitions</w:t>
      </w:r>
    </w:p>
    <w:p w14:paraId="22F3D959" w14:textId="77777777" w:rsidR="009F7012" w:rsidRDefault="00000000">
      <w:pPr>
        <w:pStyle w:val="ListBullet"/>
        <w:spacing w:after="60"/>
      </w:pPr>
      <w:r>
        <w:t>Revenue Growth % = (Current Revenue / Prior-year Revenue) - 1; 2021 is N/A.</w:t>
      </w:r>
    </w:p>
    <w:p w14:paraId="7FE5FD9A" w14:textId="77777777" w:rsidR="009F7012" w:rsidRDefault="00000000">
      <w:pPr>
        <w:pStyle w:val="ListBullet"/>
        <w:spacing w:after="60"/>
      </w:pPr>
      <w:r>
        <w:t>Gross Profit Margin % = Gross Profit / Revenue.</w:t>
      </w:r>
    </w:p>
    <w:p w14:paraId="353EE7B8" w14:textId="77777777" w:rsidR="009F7012" w:rsidRDefault="00000000">
      <w:pPr>
        <w:pStyle w:val="ListBullet"/>
        <w:spacing w:after="60"/>
      </w:pPr>
      <w:r>
        <w:t>Operating Profit Margin % = Operating Profit / Revenue.</w:t>
      </w:r>
    </w:p>
    <w:p w14:paraId="494C518A" w14:textId="77777777" w:rsidR="009F7012" w:rsidRDefault="00000000">
      <w:pPr>
        <w:pStyle w:val="ListBullet"/>
        <w:spacing w:after="60"/>
      </w:pPr>
      <w:r>
        <w:t>Net Profit Margin % = Consolidated Net Profit / Revenue.</w:t>
      </w:r>
    </w:p>
    <w:p w14:paraId="0FE0F0DB" w14:textId="77777777" w:rsidR="009F7012" w:rsidRDefault="00000000">
      <w:pPr>
        <w:pStyle w:val="ListBullet"/>
        <w:spacing w:after="60"/>
      </w:pPr>
      <w:r>
        <w:t>Current Ratio = Current Assets / Current Liabilities.</w:t>
      </w:r>
    </w:p>
    <w:p w14:paraId="4384AD3E" w14:textId="77777777" w:rsidR="009F7012" w:rsidRDefault="00000000">
      <w:pPr>
        <w:pStyle w:val="ListBullet"/>
        <w:spacing w:after="60"/>
      </w:pPr>
      <w:r>
        <w:t>Debt Ratio % = Total Liabilities / Total Assets; not interest-bearing debt.</w:t>
      </w:r>
    </w:p>
    <w:p w14:paraId="53F6F964" w14:textId="77777777" w:rsidR="009F7012" w:rsidRDefault="00000000">
      <w:pPr>
        <w:pStyle w:val="ListBullet"/>
        <w:spacing w:after="60"/>
      </w:pPr>
      <w:r>
        <w:t>ROA % = Net Profit / Closing Total Assets; ROE % = Net Profit / Closing Total Equity.</w:t>
      </w:r>
    </w:p>
    <w:p w14:paraId="12A69CA1" w14:textId="77777777" w:rsidR="009F7012" w:rsidRDefault="00000000">
      <w:pPr>
        <w:pStyle w:val="Heading1"/>
        <w:spacing w:before="240" w:after="120"/>
      </w:pPr>
      <w:r>
        <w:rPr>
          <w:rFonts w:ascii="Aptos Display" w:hAnsi="Aptos Display"/>
        </w:rPr>
        <w:t>Appendix A. Five-Year KPI Table</w:t>
      </w:r>
    </w:p>
    <w:tbl>
      <w:tblPr>
        <w:tblStyle w:val="TableGrid"/>
        <w:tblW w:w="0" w:type="auto"/>
        <w:jc w:val="center"/>
        <w:tblLook w:val="04A0" w:firstRow="1" w:lastRow="0" w:firstColumn="1" w:lastColumn="0" w:noHBand="0" w:noVBand="1"/>
      </w:tblPr>
      <w:tblGrid>
        <w:gridCol w:w="1680"/>
        <w:gridCol w:w="1678"/>
        <w:gridCol w:w="1678"/>
        <w:gridCol w:w="1678"/>
        <w:gridCol w:w="1678"/>
        <w:gridCol w:w="1678"/>
      </w:tblGrid>
      <w:tr w:rsidR="009F7012" w14:paraId="0CB11DF2" w14:textId="77777777">
        <w:trPr>
          <w:jc w:val="center"/>
        </w:trPr>
        <w:tc>
          <w:tcPr>
            <w:tcW w:w="1680" w:type="dxa"/>
            <w:shd w:val="clear" w:color="auto" w:fill="5B2C83"/>
            <w:vAlign w:val="center"/>
          </w:tcPr>
          <w:p w14:paraId="1CD3958C" w14:textId="77777777" w:rsidR="009F7012" w:rsidRDefault="00000000">
            <w:pPr>
              <w:jc w:val="center"/>
            </w:pPr>
            <w:r>
              <w:rPr>
                <w:b/>
                <w:color w:val="FFFFFF"/>
                <w:sz w:val="16"/>
              </w:rPr>
              <w:t>KPI</w:t>
            </w:r>
          </w:p>
        </w:tc>
        <w:tc>
          <w:tcPr>
            <w:tcW w:w="1680" w:type="dxa"/>
            <w:shd w:val="clear" w:color="auto" w:fill="5B2C83"/>
            <w:vAlign w:val="center"/>
          </w:tcPr>
          <w:p w14:paraId="7C1CD327" w14:textId="77777777" w:rsidR="009F7012" w:rsidRDefault="00000000">
            <w:pPr>
              <w:jc w:val="center"/>
            </w:pPr>
            <w:r>
              <w:rPr>
                <w:b/>
                <w:color w:val="FFFFFF"/>
                <w:sz w:val="16"/>
              </w:rPr>
              <w:t>2021</w:t>
            </w:r>
          </w:p>
        </w:tc>
        <w:tc>
          <w:tcPr>
            <w:tcW w:w="1680" w:type="dxa"/>
            <w:shd w:val="clear" w:color="auto" w:fill="5B2C83"/>
            <w:vAlign w:val="center"/>
          </w:tcPr>
          <w:p w14:paraId="78DD8151" w14:textId="77777777" w:rsidR="009F7012" w:rsidRDefault="00000000">
            <w:pPr>
              <w:jc w:val="center"/>
            </w:pPr>
            <w:r>
              <w:rPr>
                <w:b/>
                <w:color w:val="FFFFFF"/>
                <w:sz w:val="16"/>
              </w:rPr>
              <w:t>2022</w:t>
            </w:r>
          </w:p>
        </w:tc>
        <w:tc>
          <w:tcPr>
            <w:tcW w:w="1680" w:type="dxa"/>
            <w:shd w:val="clear" w:color="auto" w:fill="5B2C83"/>
            <w:vAlign w:val="center"/>
          </w:tcPr>
          <w:p w14:paraId="64B6EDE5" w14:textId="77777777" w:rsidR="009F7012" w:rsidRDefault="00000000">
            <w:pPr>
              <w:jc w:val="center"/>
            </w:pPr>
            <w:r>
              <w:rPr>
                <w:b/>
                <w:color w:val="FFFFFF"/>
                <w:sz w:val="16"/>
              </w:rPr>
              <w:t>2023</w:t>
            </w:r>
          </w:p>
        </w:tc>
        <w:tc>
          <w:tcPr>
            <w:tcW w:w="1680" w:type="dxa"/>
            <w:shd w:val="clear" w:color="auto" w:fill="5B2C83"/>
            <w:vAlign w:val="center"/>
          </w:tcPr>
          <w:p w14:paraId="58D15291" w14:textId="77777777" w:rsidR="009F7012" w:rsidRDefault="00000000">
            <w:pPr>
              <w:jc w:val="center"/>
            </w:pPr>
            <w:r>
              <w:rPr>
                <w:b/>
                <w:color w:val="FFFFFF"/>
                <w:sz w:val="16"/>
              </w:rPr>
              <w:t>2024</w:t>
            </w:r>
          </w:p>
        </w:tc>
        <w:tc>
          <w:tcPr>
            <w:tcW w:w="1680" w:type="dxa"/>
            <w:shd w:val="clear" w:color="auto" w:fill="5B2C83"/>
            <w:vAlign w:val="center"/>
          </w:tcPr>
          <w:p w14:paraId="71595F7C" w14:textId="77777777" w:rsidR="009F7012" w:rsidRDefault="00000000">
            <w:pPr>
              <w:jc w:val="center"/>
            </w:pPr>
            <w:r>
              <w:rPr>
                <w:b/>
                <w:color w:val="FFFFFF"/>
                <w:sz w:val="16"/>
              </w:rPr>
              <w:t>2025</w:t>
            </w:r>
          </w:p>
        </w:tc>
      </w:tr>
      <w:tr w:rsidR="009F7012" w14:paraId="23332F4B" w14:textId="77777777">
        <w:trPr>
          <w:jc w:val="center"/>
        </w:trPr>
        <w:tc>
          <w:tcPr>
            <w:tcW w:w="1680" w:type="dxa"/>
            <w:vAlign w:val="center"/>
          </w:tcPr>
          <w:p w14:paraId="01D6972C" w14:textId="77777777" w:rsidR="009F7012" w:rsidRDefault="00000000">
            <w:r>
              <w:rPr>
                <w:b/>
                <w:color w:val="5B2C83"/>
                <w:sz w:val="16"/>
              </w:rPr>
              <w:t>Revenue Growth %</w:t>
            </w:r>
          </w:p>
        </w:tc>
        <w:tc>
          <w:tcPr>
            <w:tcW w:w="1680" w:type="dxa"/>
            <w:vAlign w:val="center"/>
          </w:tcPr>
          <w:p w14:paraId="207226B0" w14:textId="77777777" w:rsidR="009F7012" w:rsidRDefault="00000000">
            <w:pPr>
              <w:jc w:val="right"/>
            </w:pPr>
            <w:r>
              <w:rPr>
                <w:sz w:val="16"/>
              </w:rPr>
              <w:t>N/A</w:t>
            </w:r>
          </w:p>
        </w:tc>
        <w:tc>
          <w:tcPr>
            <w:tcW w:w="1680" w:type="dxa"/>
            <w:vAlign w:val="center"/>
          </w:tcPr>
          <w:p w14:paraId="5642EE27" w14:textId="77777777" w:rsidR="009F7012" w:rsidRDefault="00000000">
            <w:pPr>
              <w:jc w:val="right"/>
            </w:pPr>
            <w:r>
              <w:rPr>
                <w:sz w:val="16"/>
              </w:rPr>
              <w:t>7.0%</w:t>
            </w:r>
          </w:p>
        </w:tc>
        <w:tc>
          <w:tcPr>
            <w:tcW w:w="1680" w:type="dxa"/>
            <w:vAlign w:val="center"/>
          </w:tcPr>
          <w:p w14:paraId="60B73232" w14:textId="77777777" w:rsidR="009F7012" w:rsidRDefault="00000000">
            <w:pPr>
              <w:jc w:val="right"/>
            </w:pPr>
            <w:r>
              <w:rPr>
                <w:sz w:val="16"/>
              </w:rPr>
              <w:t>6.4%</w:t>
            </w:r>
          </w:p>
        </w:tc>
        <w:tc>
          <w:tcPr>
            <w:tcW w:w="1680" w:type="dxa"/>
            <w:vAlign w:val="center"/>
          </w:tcPr>
          <w:p w14:paraId="6F0D94CF" w14:textId="77777777" w:rsidR="009F7012" w:rsidRDefault="00000000">
            <w:pPr>
              <w:jc w:val="right"/>
            </w:pPr>
            <w:r>
              <w:rPr>
                <w:sz w:val="16"/>
              </w:rPr>
              <w:t>5.7%</w:t>
            </w:r>
          </w:p>
        </w:tc>
        <w:tc>
          <w:tcPr>
            <w:tcW w:w="1680" w:type="dxa"/>
            <w:vAlign w:val="center"/>
          </w:tcPr>
          <w:p w14:paraId="7712B192" w14:textId="77777777" w:rsidR="009F7012" w:rsidRDefault="00000000">
            <w:pPr>
              <w:jc w:val="right"/>
            </w:pPr>
            <w:r>
              <w:rPr>
                <w:sz w:val="16"/>
              </w:rPr>
              <w:t>2.5%</w:t>
            </w:r>
          </w:p>
        </w:tc>
      </w:tr>
      <w:tr w:rsidR="009F7012" w14:paraId="6027BA93" w14:textId="77777777">
        <w:trPr>
          <w:jc w:val="center"/>
        </w:trPr>
        <w:tc>
          <w:tcPr>
            <w:tcW w:w="1680" w:type="dxa"/>
            <w:vAlign w:val="center"/>
          </w:tcPr>
          <w:p w14:paraId="7DAA1075" w14:textId="77777777" w:rsidR="009F7012" w:rsidRDefault="00000000">
            <w:r>
              <w:rPr>
                <w:b/>
                <w:color w:val="5B2C83"/>
                <w:sz w:val="16"/>
              </w:rPr>
              <w:t>Gross Profit Margin %</w:t>
            </w:r>
          </w:p>
        </w:tc>
        <w:tc>
          <w:tcPr>
            <w:tcW w:w="1680" w:type="dxa"/>
            <w:vAlign w:val="center"/>
          </w:tcPr>
          <w:p w14:paraId="00464BE6" w14:textId="77777777" w:rsidR="009F7012" w:rsidRDefault="00000000">
            <w:pPr>
              <w:jc w:val="right"/>
            </w:pPr>
            <w:r>
              <w:rPr>
                <w:sz w:val="16"/>
              </w:rPr>
              <w:t>53.6%</w:t>
            </w:r>
          </w:p>
        </w:tc>
        <w:tc>
          <w:tcPr>
            <w:tcW w:w="1680" w:type="dxa"/>
            <w:vAlign w:val="center"/>
          </w:tcPr>
          <w:p w14:paraId="23DA5F8B" w14:textId="77777777" w:rsidR="009F7012" w:rsidRDefault="00000000">
            <w:pPr>
              <w:jc w:val="right"/>
            </w:pPr>
            <w:r>
              <w:rPr>
                <w:sz w:val="16"/>
              </w:rPr>
              <w:t>55.5%</w:t>
            </w:r>
          </w:p>
        </w:tc>
        <w:tc>
          <w:tcPr>
            <w:tcW w:w="1680" w:type="dxa"/>
            <w:vAlign w:val="center"/>
          </w:tcPr>
          <w:p w14:paraId="0B9018B0" w14:textId="77777777" w:rsidR="009F7012" w:rsidRDefault="00000000">
            <w:pPr>
              <w:jc w:val="right"/>
            </w:pPr>
            <w:r>
              <w:rPr>
                <w:sz w:val="16"/>
              </w:rPr>
              <w:t>48.4%</w:t>
            </w:r>
          </w:p>
        </w:tc>
        <w:tc>
          <w:tcPr>
            <w:tcW w:w="1680" w:type="dxa"/>
            <w:vAlign w:val="center"/>
          </w:tcPr>
          <w:p w14:paraId="320FDADA" w14:textId="77777777" w:rsidR="009F7012" w:rsidRDefault="00000000">
            <w:pPr>
              <w:jc w:val="right"/>
            </w:pPr>
            <w:r>
              <w:rPr>
                <w:sz w:val="16"/>
              </w:rPr>
              <w:t>49.1%</w:t>
            </w:r>
          </w:p>
        </w:tc>
        <w:tc>
          <w:tcPr>
            <w:tcW w:w="1680" w:type="dxa"/>
            <w:vAlign w:val="center"/>
          </w:tcPr>
          <w:p w14:paraId="254B988A" w14:textId="77777777" w:rsidR="009F7012" w:rsidRDefault="00000000">
            <w:pPr>
              <w:jc w:val="right"/>
            </w:pPr>
            <w:r>
              <w:rPr>
                <w:sz w:val="16"/>
              </w:rPr>
              <w:t>48.4%</w:t>
            </w:r>
          </w:p>
        </w:tc>
      </w:tr>
      <w:tr w:rsidR="009F7012" w14:paraId="4928F8BD" w14:textId="77777777">
        <w:trPr>
          <w:jc w:val="center"/>
        </w:trPr>
        <w:tc>
          <w:tcPr>
            <w:tcW w:w="1680" w:type="dxa"/>
            <w:vAlign w:val="center"/>
          </w:tcPr>
          <w:p w14:paraId="6F2D8E70" w14:textId="77777777" w:rsidR="009F7012" w:rsidRDefault="00000000">
            <w:r>
              <w:rPr>
                <w:b/>
                <w:color w:val="5B2C83"/>
                <w:sz w:val="16"/>
              </w:rPr>
              <w:t>Operating Profit Margin %</w:t>
            </w:r>
          </w:p>
        </w:tc>
        <w:tc>
          <w:tcPr>
            <w:tcW w:w="1680" w:type="dxa"/>
            <w:vAlign w:val="center"/>
          </w:tcPr>
          <w:p w14:paraId="41BE5440" w14:textId="77777777" w:rsidR="009F7012" w:rsidRDefault="00000000">
            <w:pPr>
              <w:jc w:val="right"/>
            </w:pPr>
            <w:r>
              <w:rPr>
                <w:sz w:val="16"/>
              </w:rPr>
              <w:t>20.8%</w:t>
            </w:r>
          </w:p>
        </w:tc>
        <w:tc>
          <w:tcPr>
            <w:tcW w:w="1680" w:type="dxa"/>
            <w:vAlign w:val="center"/>
          </w:tcPr>
          <w:p w14:paraId="3DB2F4F1" w14:textId="77777777" w:rsidR="009F7012" w:rsidRDefault="00000000">
            <w:pPr>
              <w:jc w:val="right"/>
            </w:pPr>
            <w:r>
              <w:rPr>
                <w:sz w:val="16"/>
              </w:rPr>
              <w:t>22.4%</w:t>
            </w:r>
          </w:p>
        </w:tc>
        <w:tc>
          <w:tcPr>
            <w:tcW w:w="1680" w:type="dxa"/>
            <w:vAlign w:val="center"/>
          </w:tcPr>
          <w:p w14:paraId="156B854A" w14:textId="77777777" w:rsidR="009F7012" w:rsidRDefault="00000000">
            <w:pPr>
              <w:jc w:val="right"/>
            </w:pPr>
            <w:r>
              <w:rPr>
                <w:sz w:val="16"/>
              </w:rPr>
              <w:t>18.3%</w:t>
            </w:r>
          </w:p>
        </w:tc>
        <w:tc>
          <w:tcPr>
            <w:tcW w:w="1680" w:type="dxa"/>
            <w:vAlign w:val="center"/>
          </w:tcPr>
          <w:p w14:paraId="58E52326" w14:textId="77777777" w:rsidR="009F7012" w:rsidRDefault="00000000">
            <w:pPr>
              <w:jc w:val="right"/>
            </w:pPr>
            <w:r>
              <w:rPr>
                <w:sz w:val="16"/>
              </w:rPr>
              <w:t>19.0%</w:t>
            </w:r>
          </w:p>
        </w:tc>
        <w:tc>
          <w:tcPr>
            <w:tcW w:w="1680" w:type="dxa"/>
            <w:vAlign w:val="center"/>
          </w:tcPr>
          <w:p w14:paraId="69825CA4" w14:textId="77777777" w:rsidR="009F7012" w:rsidRDefault="00000000">
            <w:pPr>
              <w:jc w:val="right"/>
            </w:pPr>
            <w:r>
              <w:rPr>
                <w:sz w:val="16"/>
              </w:rPr>
              <w:t>18.6%</w:t>
            </w:r>
          </w:p>
        </w:tc>
      </w:tr>
      <w:tr w:rsidR="009F7012" w14:paraId="5D7A620A" w14:textId="77777777">
        <w:trPr>
          <w:jc w:val="center"/>
        </w:trPr>
        <w:tc>
          <w:tcPr>
            <w:tcW w:w="1680" w:type="dxa"/>
            <w:vAlign w:val="center"/>
          </w:tcPr>
          <w:p w14:paraId="43DB397C" w14:textId="77777777" w:rsidR="009F7012" w:rsidRDefault="00000000">
            <w:r>
              <w:rPr>
                <w:b/>
                <w:color w:val="5B2C83"/>
                <w:sz w:val="16"/>
              </w:rPr>
              <w:t>Net Profit Margin %</w:t>
            </w:r>
          </w:p>
        </w:tc>
        <w:tc>
          <w:tcPr>
            <w:tcW w:w="1680" w:type="dxa"/>
            <w:vAlign w:val="center"/>
          </w:tcPr>
          <w:p w14:paraId="4C39272F" w14:textId="77777777" w:rsidR="009F7012" w:rsidRDefault="00000000">
            <w:pPr>
              <w:jc w:val="right"/>
            </w:pPr>
            <w:r>
              <w:rPr>
                <w:sz w:val="16"/>
              </w:rPr>
              <w:t>18.4%</w:t>
            </w:r>
          </w:p>
        </w:tc>
        <w:tc>
          <w:tcPr>
            <w:tcW w:w="1680" w:type="dxa"/>
            <w:vAlign w:val="center"/>
          </w:tcPr>
          <w:p w14:paraId="47A10772" w14:textId="77777777" w:rsidR="009F7012" w:rsidRDefault="00000000">
            <w:pPr>
              <w:jc w:val="right"/>
            </w:pPr>
            <w:r>
              <w:rPr>
                <w:sz w:val="16"/>
              </w:rPr>
              <w:t>18.4%</w:t>
            </w:r>
          </w:p>
        </w:tc>
        <w:tc>
          <w:tcPr>
            <w:tcW w:w="1680" w:type="dxa"/>
            <w:vAlign w:val="center"/>
          </w:tcPr>
          <w:p w14:paraId="07A7844C" w14:textId="77777777" w:rsidR="009F7012" w:rsidRDefault="00000000">
            <w:pPr>
              <w:jc w:val="right"/>
            </w:pPr>
            <w:r>
              <w:rPr>
                <w:sz w:val="16"/>
              </w:rPr>
              <w:t>18.7%</w:t>
            </w:r>
          </w:p>
        </w:tc>
        <w:tc>
          <w:tcPr>
            <w:tcW w:w="1680" w:type="dxa"/>
            <w:vAlign w:val="center"/>
          </w:tcPr>
          <w:p w14:paraId="408B0FF5" w14:textId="77777777" w:rsidR="009F7012" w:rsidRDefault="00000000">
            <w:pPr>
              <w:jc w:val="right"/>
            </w:pPr>
            <w:r>
              <w:rPr>
                <w:sz w:val="16"/>
              </w:rPr>
              <w:t>32.8%</w:t>
            </w:r>
          </w:p>
        </w:tc>
        <w:tc>
          <w:tcPr>
            <w:tcW w:w="1680" w:type="dxa"/>
            <w:vAlign w:val="center"/>
          </w:tcPr>
          <w:p w14:paraId="31EFF442" w14:textId="77777777" w:rsidR="009F7012" w:rsidRDefault="00000000">
            <w:pPr>
              <w:jc w:val="right"/>
            </w:pPr>
            <w:r>
              <w:rPr>
                <w:sz w:val="16"/>
              </w:rPr>
              <w:t>19.4%</w:t>
            </w:r>
          </w:p>
        </w:tc>
      </w:tr>
      <w:tr w:rsidR="009F7012" w14:paraId="0F2AC944" w14:textId="77777777">
        <w:trPr>
          <w:jc w:val="center"/>
        </w:trPr>
        <w:tc>
          <w:tcPr>
            <w:tcW w:w="1680" w:type="dxa"/>
            <w:vAlign w:val="center"/>
          </w:tcPr>
          <w:p w14:paraId="3B100036" w14:textId="77777777" w:rsidR="009F7012" w:rsidRDefault="00000000">
            <w:r>
              <w:rPr>
                <w:b/>
                <w:color w:val="5B2C83"/>
                <w:sz w:val="16"/>
              </w:rPr>
              <w:t>Current Ratio</w:t>
            </w:r>
          </w:p>
        </w:tc>
        <w:tc>
          <w:tcPr>
            <w:tcW w:w="1680" w:type="dxa"/>
            <w:vAlign w:val="center"/>
          </w:tcPr>
          <w:p w14:paraId="6FE4E4A4" w14:textId="77777777" w:rsidR="009F7012" w:rsidRDefault="00000000">
            <w:pPr>
              <w:jc w:val="right"/>
            </w:pPr>
            <w:r>
              <w:rPr>
                <w:sz w:val="16"/>
              </w:rPr>
              <w:t>1.53x</w:t>
            </w:r>
          </w:p>
        </w:tc>
        <w:tc>
          <w:tcPr>
            <w:tcW w:w="1680" w:type="dxa"/>
            <w:vAlign w:val="center"/>
          </w:tcPr>
          <w:p w14:paraId="3B245D4B" w14:textId="77777777" w:rsidR="009F7012" w:rsidRDefault="00000000">
            <w:pPr>
              <w:jc w:val="right"/>
            </w:pPr>
            <w:r>
              <w:rPr>
                <w:sz w:val="16"/>
              </w:rPr>
              <w:t>1.67x</w:t>
            </w:r>
          </w:p>
        </w:tc>
        <w:tc>
          <w:tcPr>
            <w:tcW w:w="1680" w:type="dxa"/>
            <w:vAlign w:val="center"/>
          </w:tcPr>
          <w:p w14:paraId="7D1BC781" w14:textId="77777777" w:rsidR="009F7012" w:rsidRDefault="00000000">
            <w:pPr>
              <w:jc w:val="right"/>
            </w:pPr>
            <w:r>
              <w:rPr>
                <w:sz w:val="16"/>
              </w:rPr>
              <w:t>1.48x</w:t>
            </w:r>
          </w:p>
        </w:tc>
        <w:tc>
          <w:tcPr>
            <w:tcW w:w="1680" w:type="dxa"/>
            <w:vAlign w:val="center"/>
          </w:tcPr>
          <w:p w14:paraId="2DC1A816" w14:textId="77777777" w:rsidR="009F7012" w:rsidRDefault="00000000">
            <w:pPr>
              <w:jc w:val="right"/>
            </w:pPr>
            <w:r>
              <w:rPr>
                <w:sz w:val="16"/>
              </w:rPr>
              <w:t>1.87x</w:t>
            </w:r>
          </w:p>
        </w:tc>
        <w:tc>
          <w:tcPr>
            <w:tcW w:w="1680" w:type="dxa"/>
            <w:vAlign w:val="center"/>
          </w:tcPr>
          <w:p w14:paraId="795A1028" w14:textId="77777777" w:rsidR="009F7012" w:rsidRDefault="00000000">
            <w:pPr>
              <w:jc w:val="right"/>
            </w:pPr>
            <w:r>
              <w:rPr>
                <w:sz w:val="16"/>
              </w:rPr>
              <w:t>1.44x</w:t>
            </w:r>
          </w:p>
        </w:tc>
      </w:tr>
      <w:tr w:rsidR="009F7012" w14:paraId="6432067C" w14:textId="77777777">
        <w:trPr>
          <w:jc w:val="center"/>
        </w:trPr>
        <w:tc>
          <w:tcPr>
            <w:tcW w:w="1680" w:type="dxa"/>
            <w:vAlign w:val="center"/>
          </w:tcPr>
          <w:p w14:paraId="7777FD8E" w14:textId="77777777" w:rsidR="009F7012" w:rsidRDefault="00000000">
            <w:r>
              <w:rPr>
                <w:b/>
                <w:color w:val="5B2C83"/>
                <w:sz w:val="16"/>
              </w:rPr>
              <w:t>Debt Ratio %</w:t>
            </w:r>
          </w:p>
        </w:tc>
        <w:tc>
          <w:tcPr>
            <w:tcW w:w="1680" w:type="dxa"/>
            <w:vAlign w:val="center"/>
          </w:tcPr>
          <w:p w14:paraId="51473835" w14:textId="77777777" w:rsidR="009F7012" w:rsidRDefault="00000000">
            <w:pPr>
              <w:jc w:val="right"/>
            </w:pPr>
            <w:r>
              <w:rPr>
                <w:sz w:val="16"/>
              </w:rPr>
              <w:t>46.5%</w:t>
            </w:r>
          </w:p>
        </w:tc>
        <w:tc>
          <w:tcPr>
            <w:tcW w:w="1680" w:type="dxa"/>
            <w:vAlign w:val="center"/>
          </w:tcPr>
          <w:p w14:paraId="34441A67" w14:textId="77777777" w:rsidR="009F7012" w:rsidRDefault="00000000">
            <w:pPr>
              <w:jc w:val="right"/>
            </w:pPr>
            <w:r>
              <w:rPr>
                <w:sz w:val="16"/>
              </w:rPr>
              <w:t>44.6%</w:t>
            </w:r>
          </w:p>
        </w:tc>
        <w:tc>
          <w:tcPr>
            <w:tcW w:w="1680" w:type="dxa"/>
            <w:vAlign w:val="center"/>
          </w:tcPr>
          <w:p w14:paraId="33B5B065" w14:textId="77777777" w:rsidR="009F7012" w:rsidRDefault="00000000">
            <w:pPr>
              <w:jc w:val="right"/>
            </w:pPr>
            <w:r>
              <w:rPr>
                <w:sz w:val="16"/>
              </w:rPr>
              <w:t>49.0%</w:t>
            </w:r>
          </w:p>
        </w:tc>
        <w:tc>
          <w:tcPr>
            <w:tcW w:w="1680" w:type="dxa"/>
            <w:vAlign w:val="center"/>
          </w:tcPr>
          <w:p w14:paraId="5C3CD766" w14:textId="77777777" w:rsidR="009F7012" w:rsidRDefault="00000000">
            <w:pPr>
              <w:jc w:val="right"/>
            </w:pPr>
            <w:r>
              <w:rPr>
                <w:sz w:val="16"/>
              </w:rPr>
              <w:t>42.4%</w:t>
            </w:r>
          </w:p>
        </w:tc>
        <w:tc>
          <w:tcPr>
            <w:tcW w:w="1680" w:type="dxa"/>
            <w:vAlign w:val="center"/>
          </w:tcPr>
          <w:p w14:paraId="2520538D" w14:textId="77777777" w:rsidR="009F7012" w:rsidRDefault="00000000">
            <w:pPr>
              <w:jc w:val="right"/>
            </w:pPr>
            <w:r>
              <w:rPr>
                <w:sz w:val="16"/>
              </w:rPr>
              <w:t>45.1%</w:t>
            </w:r>
          </w:p>
        </w:tc>
      </w:tr>
      <w:tr w:rsidR="009F7012" w14:paraId="42A82C63" w14:textId="77777777">
        <w:trPr>
          <w:jc w:val="center"/>
        </w:trPr>
        <w:tc>
          <w:tcPr>
            <w:tcW w:w="1680" w:type="dxa"/>
            <w:vAlign w:val="center"/>
          </w:tcPr>
          <w:p w14:paraId="6E2FC113" w14:textId="77777777" w:rsidR="009F7012" w:rsidRDefault="00000000">
            <w:r>
              <w:rPr>
                <w:b/>
                <w:color w:val="5B2C83"/>
                <w:sz w:val="16"/>
              </w:rPr>
              <w:t>Liabilities-to-Equity</w:t>
            </w:r>
          </w:p>
        </w:tc>
        <w:tc>
          <w:tcPr>
            <w:tcW w:w="1680" w:type="dxa"/>
            <w:vAlign w:val="center"/>
          </w:tcPr>
          <w:p w14:paraId="390EE3AC" w14:textId="77777777" w:rsidR="009F7012" w:rsidRDefault="00000000">
            <w:pPr>
              <w:jc w:val="right"/>
            </w:pPr>
            <w:r>
              <w:rPr>
                <w:sz w:val="16"/>
              </w:rPr>
              <w:t>0.79x</w:t>
            </w:r>
          </w:p>
        </w:tc>
        <w:tc>
          <w:tcPr>
            <w:tcW w:w="1680" w:type="dxa"/>
            <w:vAlign w:val="center"/>
          </w:tcPr>
          <w:p w14:paraId="0B411B60" w14:textId="77777777" w:rsidR="009F7012" w:rsidRDefault="00000000">
            <w:pPr>
              <w:jc w:val="right"/>
            </w:pPr>
            <w:r>
              <w:rPr>
                <w:sz w:val="16"/>
              </w:rPr>
              <w:t>0.80x</w:t>
            </w:r>
          </w:p>
        </w:tc>
        <w:tc>
          <w:tcPr>
            <w:tcW w:w="1680" w:type="dxa"/>
            <w:vAlign w:val="center"/>
          </w:tcPr>
          <w:p w14:paraId="5BC3D5D7" w14:textId="77777777" w:rsidR="009F7012" w:rsidRDefault="00000000">
            <w:pPr>
              <w:jc w:val="right"/>
            </w:pPr>
            <w:r>
              <w:rPr>
                <w:sz w:val="16"/>
              </w:rPr>
              <w:t>0.96x</w:t>
            </w:r>
          </w:p>
        </w:tc>
        <w:tc>
          <w:tcPr>
            <w:tcW w:w="1680" w:type="dxa"/>
            <w:vAlign w:val="center"/>
          </w:tcPr>
          <w:p w14:paraId="02EF7A24" w14:textId="77777777" w:rsidR="009F7012" w:rsidRDefault="00000000">
            <w:pPr>
              <w:jc w:val="right"/>
            </w:pPr>
            <w:r>
              <w:rPr>
                <w:sz w:val="16"/>
              </w:rPr>
              <w:t>0.74x</w:t>
            </w:r>
          </w:p>
        </w:tc>
        <w:tc>
          <w:tcPr>
            <w:tcW w:w="1680" w:type="dxa"/>
            <w:vAlign w:val="center"/>
          </w:tcPr>
          <w:p w14:paraId="382D732C" w14:textId="77777777" w:rsidR="009F7012" w:rsidRDefault="00000000">
            <w:pPr>
              <w:jc w:val="right"/>
            </w:pPr>
            <w:r>
              <w:rPr>
                <w:sz w:val="16"/>
              </w:rPr>
              <w:t>0.82x</w:t>
            </w:r>
          </w:p>
        </w:tc>
      </w:tr>
      <w:tr w:rsidR="009F7012" w14:paraId="5D7E41E5" w14:textId="77777777">
        <w:trPr>
          <w:jc w:val="center"/>
        </w:trPr>
        <w:tc>
          <w:tcPr>
            <w:tcW w:w="1680" w:type="dxa"/>
            <w:vAlign w:val="center"/>
          </w:tcPr>
          <w:p w14:paraId="48BBB4CC" w14:textId="77777777" w:rsidR="009F7012" w:rsidRDefault="00000000">
            <w:r>
              <w:rPr>
                <w:b/>
                <w:color w:val="5B2C83"/>
                <w:sz w:val="16"/>
              </w:rPr>
              <w:t>ROA %</w:t>
            </w:r>
          </w:p>
        </w:tc>
        <w:tc>
          <w:tcPr>
            <w:tcW w:w="1680" w:type="dxa"/>
            <w:vAlign w:val="center"/>
          </w:tcPr>
          <w:p w14:paraId="6413BFFD" w14:textId="77777777" w:rsidR="009F7012" w:rsidRDefault="00000000">
            <w:pPr>
              <w:jc w:val="right"/>
            </w:pPr>
            <w:r>
              <w:rPr>
                <w:sz w:val="16"/>
              </w:rPr>
              <w:t>9.5%</w:t>
            </w:r>
          </w:p>
        </w:tc>
        <w:tc>
          <w:tcPr>
            <w:tcW w:w="1680" w:type="dxa"/>
            <w:vAlign w:val="center"/>
          </w:tcPr>
          <w:p w14:paraId="64B92A7E" w14:textId="77777777" w:rsidR="009F7012" w:rsidRDefault="00000000">
            <w:pPr>
              <w:jc w:val="right"/>
            </w:pPr>
            <w:r>
              <w:rPr>
                <w:sz w:val="16"/>
              </w:rPr>
              <w:t>9.0%</w:t>
            </w:r>
          </w:p>
        </w:tc>
        <w:tc>
          <w:tcPr>
            <w:tcW w:w="1680" w:type="dxa"/>
            <w:vAlign w:val="center"/>
          </w:tcPr>
          <w:p w14:paraId="2EA01EF5" w14:textId="77777777" w:rsidR="009F7012" w:rsidRDefault="00000000">
            <w:pPr>
              <w:jc w:val="right"/>
            </w:pPr>
            <w:r>
              <w:rPr>
                <w:sz w:val="16"/>
              </w:rPr>
              <w:t>8.4%</w:t>
            </w:r>
          </w:p>
        </w:tc>
        <w:tc>
          <w:tcPr>
            <w:tcW w:w="1680" w:type="dxa"/>
            <w:vAlign w:val="center"/>
          </w:tcPr>
          <w:p w14:paraId="4FD06828" w14:textId="77777777" w:rsidR="009F7012" w:rsidRDefault="00000000">
            <w:pPr>
              <w:jc w:val="right"/>
            </w:pPr>
            <w:r>
              <w:rPr>
                <w:sz w:val="16"/>
              </w:rPr>
              <w:t>15.5%</w:t>
            </w:r>
          </w:p>
        </w:tc>
        <w:tc>
          <w:tcPr>
            <w:tcW w:w="1680" w:type="dxa"/>
            <w:vAlign w:val="center"/>
          </w:tcPr>
          <w:p w14:paraId="0938A77E" w14:textId="77777777" w:rsidR="009F7012" w:rsidRDefault="00000000">
            <w:pPr>
              <w:jc w:val="right"/>
            </w:pPr>
            <w:r>
              <w:rPr>
                <w:sz w:val="16"/>
              </w:rPr>
              <w:t>9.6%</w:t>
            </w:r>
          </w:p>
        </w:tc>
      </w:tr>
      <w:tr w:rsidR="009F7012" w14:paraId="4E780EF7" w14:textId="77777777">
        <w:trPr>
          <w:jc w:val="center"/>
        </w:trPr>
        <w:tc>
          <w:tcPr>
            <w:tcW w:w="1680" w:type="dxa"/>
            <w:vAlign w:val="center"/>
          </w:tcPr>
          <w:p w14:paraId="4FB2E613" w14:textId="77777777" w:rsidR="009F7012" w:rsidRDefault="00000000">
            <w:r>
              <w:rPr>
                <w:b/>
                <w:color w:val="5B2C83"/>
                <w:sz w:val="16"/>
              </w:rPr>
              <w:t>ROE %</w:t>
            </w:r>
          </w:p>
        </w:tc>
        <w:tc>
          <w:tcPr>
            <w:tcW w:w="1680" w:type="dxa"/>
            <w:vAlign w:val="center"/>
          </w:tcPr>
          <w:p w14:paraId="1D3158B9" w14:textId="77777777" w:rsidR="009F7012" w:rsidRDefault="00000000">
            <w:pPr>
              <w:jc w:val="right"/>
            </w:pPr>
            <w:r>
              <w:rPr>
                <w:sz w:val="16"/>
              </w:rPr>
              <w:t>16.2%</w:t>
            </w:r>
          </w:p>
        </w:tc>
        <w:tc>
          <w:tcPr>
            <w:tcW w:w="1680" w:type="dxa"/>
            <w:vAlign w:val="center"/>
          </w:tcPr>
          <w:p w14:paraId="09256151" w14:textId="77777777" w:rsidR="009F7012" w:rsidRDefault="00000000">
            <w:pPr>
              <w:jc w:val="right"/>
            </w:pPr>
            <w:r>
              <w:rPr>
                <w:sz w:val="16"/>
              </w:rPr>
              <w:t>16.3%</w:t>
            </w:r>
          </w:p>
        </w:tc>
        <w:tc>
          <w:tcPr>
            <w:tcW w:w="1680" w:type="dxa"/>
            <w:vAlign w:val="center"/>
          </w:tcPr>
          <w:p w14:paraId="7A130510" w14:textId="77777777" w:rsidR="009F7012" w:rsidRDefault="00000000">
            <w:pPr>
              <w:jc w:val="right"/>
            </w:pPr>
            <w:r>
              <w:rPr>
                <w:sz w:val="16"/>
              </w:rPr>
              <w:t>16.5%</w:t>
            </w:r>
          </w:p>
        </w:tc>
        <w:tc>
          <w:tcPr>
            <w:tcW w:w="1680" w:type="dxa"/>
            <w:vAlign w:val="center"/>
          </w:tcPr>
          <w:p w14:paraId="46B63032" w14:textId="77777777" w:rsidR="009F7012" w:rsidRDefault="00000000">
            <w:pPr>
              <w:jc w:val="right"/>
            </w:pPr>
            <w:r>
              <w:rPr>
                <w:sz w:val="16"/>
              </w:rPr>
              <w:t>26.9%</w:t>
            </w:r>
          </w:p>
        </w:tc>
        <w:tc>
          <w:tcPr>
            <w:tcW w:w="1680" w:type="dxa"/>
            <w:vAlign w:val="center"/>
          </w:tcPr>
          <w:p w14:paraId="5663D1E4" w14:textId="77777777" w:rsidR="009F7012" w:rsidRDefault="00000000">
            <w:pPr>
              <w:jc w:val="right"/>
            </w:pPr>
            <w:r>
              <w:rPr>
                <w:sz w:val="16"/>
              </w:rPr>
              <w:t>17.5%</w:t>
            </w:r>
          </w:p>
        </w:tc>
      </w:tr>
    </w:tbl>
    <w:p w14:paraId="6EE2EC39" w14:textId="77777777" w:rsidR="009F7012" w:rsidRDefault="00000000">
      <w:pPr>
        <w:pStyle w:val="Heading1"/>
        <w:spacing w:before="240" w:after="120"/>
      </w:pPr>
      <w:r>
        <w:rPr>
          <w:rFonts w:ascii="Aptos Display" w:hAnsi="Aptos Display"/>
        </w:rPr>
        <w:t>Appendix B. Source Documents</w:t>
      </w:r>
    </w:p>
    <w:p w14:paraId="128D4663" w14:textId="77777777" w:rsidR="009F7012" w:rsidRDefault="00000000">
      <w:pPr>
        <w:spacing w:after="120" w:line="259" w:lineRule="auto"/>
      </w:pPr>
      <w:r>
        <w:t>The source mapping in the Excel workbook contains the official annual-report URLs and extraction notes. The report uses the following documents:</w:t>
      </w:r>
    </w:p>
    <w:p w14:paraId="50D20B39" w14:textId="77777777" w:rsidR="009F7012" w:rsidRDefault="00000000">
      <w:pPr>
        <w:pStyle w:val="ListBullet"/>
        <w:spacing w:after="60"/>
      </w:pPr>
      <w:r>
        <w:t>2021 Annual Report: https://www.stc.com/content/dam/groupsites/en/pdf/AnnualReport2021-En-new.pdf</w:t>
      </w:r>
    </w:p>
    <w:p w14:paraId="25055995" w14:textId="77777777" w:rsidR="009F7012" w:rsidRDefault="00000000">
      <w:pPr>
        <w:pStyle w:val="ListBullet"/>
        <w:spacing w:after="60"/>
      </w:pPr>
      <w:r>
        <w:t>2022 Annual Report: https://www.stc.com/content/dam/groupsites/en/pdf/2022stc-annual-report-english-new3.pdf</w:t>
      </w:r>
    </w:p>
    <w:p w14:paraId="594A74BB" w14:textId="77777777" w:rsidR="009F7012" w:rsidRDefault="00000000">
      <w:pPr>
        <w:pStyle w:val="ListBullet"/>
        <w:spacing w:after="60"/>
      </w:pPr>
      <w:r>
        <w:t>2023 Annual Report: https://www.stc.com/content/dam/groupsites/en/pdf/stc2023-annual-report-en-v7new.pdf</w:t>
      </w:r>
    </w:p>
    <w:p w14:paraId="186D0E57" w14:textId="77777777" w:rsidR="009F7012" w:rsidRDefault="00000000">
      <w:pPr>
        <w:pStyle w:val="ListBullet"/>
        <w:spacing w:after="60"/>
      </w:pPr>
      <w:r>
        <w:t>2024 Annual Report: https://www.stc.com/content/dam/groupsites/en/pdf/stc2024-annual-report-en-new.pdf</w:t>
      </w:r>
    </w:p>
    <w:p w14:paraId="2ACBE25E" w14:textId="77777777" w:rsidR="009F7012" w:rsidRDefault="00000000">
      <w:pPr>
        <w:pStyle w:val="ListBullet"/>
        <w:spacing w:after="60"/>
      </w:pPr>
      <w:r>
        <w:t>2025 Annual Report: https://www.stc.com/content/dam/groupsites/en/pdf/stc2025-annual-report-en.pdf</w:t>
      </w:r>
    </w:p>
    <w:p w14:paraId="6AB803EA" w14:textId="7F14C083" w:rsidR="009F7012" w:rsidRDefault="009F7012">
      <w:pPr>
        <w:spacing w:after="120" w:line="259" w:lineRule="auto"/>
      </w:pPr>
    </w:p>
    <w:sectPr w:rsidR="009F7012" w:rsidSect="00034616">
      <w:headerReference w:type="default" r:id="rId9"/>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4B179" w14:textId="77777777" w:rsidR="00644D26" w:rsidRDefault="00644D26">
      <w:pPr>
        <w:spacing w:after="0" w:line="240" w:lineRule="auto"/>
      </w:pPr>
      <w:r>
        <w:separator/>
      </w:r>
    </w:p>
  </w:endnote>
  <w:endnote w:type="continuationSeparator" w:id="0">
    <w:p w14:paraId="4BD36335" w14:textId="77777777" w:rsidR="00644D26" w:rsidRDefault="0064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4119" w14:textId="77777777" w:rsidR="009F7012" w:rsidRDefault="00000000">
    <w:pPr>
      <w:pStyle w:val="Footer"/>
      <w:jc w:val="center"/>
    </w:pPr>
    <w:r>
      <w:rPr>
        <w:color w:val="5B6573"/>
        <w:sz w:val="16"/>
      </w:rPr>
      <w:t>Confidential working paper | Independent portfolio analysis | FY2021–FY2025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95213" w14:textId="77777777" w:rsidR="00644D26" w:rsidRDefault="00644D26">
      <w:pPr>
        <w:spacing w:after="0" w:line="240" w:lineRule="auto"/>
      </w:pPr>
      <w:r>
        <w:separator/>
      </w:r>
    </w:p>
  </w:footnote>
  <w:footnote w:type="continuationSeparator" w:id="0">
    <w:p w14:paraId="13CD72B0" w14:textId="77777777" w:rsidR="00644D26" w:rsidRDefault="0064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3FC4" w14:textId="77777777" w:rsidR="009F7012" w:rsidRDefault="00000000">
    <w:pPr>
      <w:pStyle w:val="Header"/>
      <w:jc w:val="right"/>
    </w:pPr>
    <w:r>
      <w:rPr>
        <w:color w:val="5B6573"/>
        <w:sz w:val="16"/>
      </w:rPr>
      <w:t>STC Financial Performance | Board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6CE3D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9C24CA"/>
    <w:multiLevelType w:val="hybridMultilevel"/>
    <w:tmpl w:val="3C06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BC0A51"/>
    <w:multiLevelType w:val="hybridMultilevel"/>
    <w:tmpl w:val="0BC01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446946"/>
    <w:multiLevelType w:val="hybridMultilevel"/>
    <w:tmpl w:val="5EDEC4F4"/>
    <w:lvl w:ilvl="0" w:tplc="950EB9C6">
      <w:start w:val="1"/>
      <w:numFmt w:val="decimal"/>
      <w:lvlText w:val="%1."/>
      <w:lvlJc w:val="left"/>
      <w:pPr>
        <w:ind w:left="720" w:hanging="360"/>
      </w:pPr>
      <w:rPr>
        <w:rFonts w:ascii="Aptos" w:hAnsi="Aptos" w:hint="default"/>
        <w:color w:val="1F2937"/>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0713971">
    <w:abstractNumId w:val="8"/>
  </w:num>
  <w:num w:numId="2" w16cid:durableId="1244603082">
    <w:abstractNumId w:val="6"/>
  </w:num>
  <w:num w:numId="3" w16cid:durableId="1094403772">
    <w:abstractNumId w:val="5"/>
  </w:num>
  <w:num w:numId="4" w16cid:durableId="69624203">
    <w:abstractNumId w:val="4"/>
  </w:num>
  <w:num w:numId="5" w16cid:durableId="1780490041">
    <w:abstractNumId w:val="7"/>
  </w:num>
  <w:num w:numId="6" w16cid:durableId="443810864">
    <w:abstractNumId w:val="3"/>
  </w:num>
  <w:num w:numId="7" w16cid:durableId="1529877195">
    <w:abstractNumId w:val="2"/>
  </w:num>
  <w:num w:numId="8" w16cid:durableId="1071463856">
    <w:abstractNumId w:val="1"/>
  </w:num>
  <w:num w:numId="9" w16cid:durableId="1638146903">
    <w:abstractNumId w:val="0"/>
  </w:num>
  <w:num w:numId="10" w16cid:durableId="1351837653">
    <w:abstractNumId w:val="10"/>
  </w:num>
  <w:num w:numId="11" w16cid:durableId="1873109894">
    <w:abstractNumId w:val="11"/>
  </w:num>
  <w:num w:numId="12" w16cid:durableId="540748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27AB"/>
    <w:rsid w:val="00644D26"/>
    <w:rsid w:val="00757738"/>
    <w:rsid w:val="009F7012"/>
    <w:rsid w:val="00A3740D"/>
    <w:rsid w:val="00AA1D8D"/>
    <w:rsid w:val="00B47730"/>
    <w:rsid w:val="00CB0664"/>
    <w:rsid w:val="00F84367"/>
    <w:rsid w:val="00FC693F"/>
    <w:rsid w:val="00FE1C2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004FC"/>
  <w14:defaultImageDpi w14:val="300"/>
  <w15:docId w15:val="{0D0241A0-01A1-495E-9656-49F6EC0F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B2C8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65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2C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B2C8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1304</Words>
  <Characters>7434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حنان شرار بن ذعار الدلبحي</dc:creator>
  <cp:keywords/>
  <dc:description>generated by python-docx</dc:description>
  <cp:lastModifiedBy>حنان شرار بن ذعار الدلبحي</cp:lastModifiedBy>
  <cp:revision>2</cp:revision>
  <dcterms:created xsi:type="dcterms:W3CDTF">2026-10-24T01:48:00Z</dcterms:created>
  <dcterms:modified xsi:type="dcterms:W3CDTF">2026-10-24T01:48:00Z</dcterms:modified>
  <cp:category/>
</cp:coreProperties>
</file>