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219ED" w14:textId="77777777" w:rsidR="00DF787F" w:rsidRDefault="00000000">
      <w:pPr>
        <w:spacing w:before="1500" w:after="200"/>
        <w:jc w:val="center"/>
      </w:pPr>
      <w:r>
        <w:rPr>
          <w:b/>
          <w:color w:val="1F4E79"/>
          <w:sz w:val="52"/>
        </w:rPr>
        <w:t>Executive Board Memorandum</w:t>
      </w:r>
    </w:p>
    <w:p w14:paraId="00799EC6" w14:textId="77777777" w:rsidR="00DF787F" w:rsidRDefault="00000000">
      <w:pPr>
        <w:jc w:val="center"/>
      </w:pPr>
      <w:r>
        <w:rPr>
          <w:b/>
          <w:color w:val="2F5597"/>
          <w:sz w:val="36"/>
        </w:rPr>
        <w:t>Audit Data Analytics &amp; Exception Detection</w:t>
      </w:r>
    </w:p>
    <w:p w14:paraId="54CCC734" w14:textId="77777777" w:rsidR="00DF787F" w:rsidRDefault="00000000">
      <w:pPr>
        <w:jc w:val="center"/>
      </w:pPr>
      <w:r>
        <w:rPr>
          <w:color w:val="505050"/>
          <w:sz w:val="28"/>
        </w:rPr>
        <w:t>General Ledger and Accounts Payable Review</w:t>
      </w:r>
    </w:p>
    <w:tbl>
      <w:tblPr>
        <w:tblW w:w="0" w:type="auto"/>
        <w:jc w:val="center"/>
        <w:tblLook w:val="04A0" w:firstRow="1" w:lastRow="0" w:firstColumn="1" w:lastColumn="0" w:noHBand="0" w:noVBand="1"/>
      </w:tblPr>
      <w:tblGrid>
        <w:gridCol w:w="5040"/>
        <w:gridCol w:w="5040"/>
      </w:tblGrid>
      <w:tr w:rsidR="00DF787F" w14:paraId="5DFDA7B6" w14:textId="77777777">
        <w:trPr>
          <w:jc w:val="center"/>
        </w:trPr>
        <w:tc>
          <w:tcPr>
            <w:tcW w:w="5040" w:type="dxa"/>
            <w:shd w:val="clear" w:color="auto" w:fill="1F4E78"/>
            <w:vAlign w:val="center"/>
          </w:tcPr>
          <w:p w14:paraId="4F02F55A" w14:textId="77777777" w:rsidR="00DF787F" w:rsidRDefault="00000000">
            <w:pPr>
              <w:spacing w:after="0"/>
            </w:pPr>
            <w:r>
              <w:rPr>
                <w:b/>
                <w:color w:val="FFFFFF"/>
                <w:sz w:val="20"/>
              </w:rPr>
              <w:t>Entity</w:t>
            </w:r>
          </w:p>
        </w:tc>
        <w:tc>
          <w:tcPr>
            <w:tcW w:w="5040" w:type="dxa"/>
            <w:shd w:val="clear" w:color="auto" w:fill="EAF2F8"/>
            <w:vAlign w:val="center"/>
          </w:tcPr>
          <w:p w14:paraId="3F8B4C5F" w14:textId="77777777" w:rsidR="00DF787F" w:rsidRDefault="00000000">
            <w:pPr>
              <w:spacing w:after="0"/>
            </w:pPr>
            <w:r>
              <w:rPr>
                <w:color w:val="333333"/>
                <w:sz w:val="20"/>
              </w:rPr>
              <w:t>Namaa Retail Company — fictional educational scenario</w:t>
            </w:r>
          </w:p>
        </w:tc>
      </w:tr>
      <w:tr w:rsidR="00DF787F" w14:paraId="43518A91" w14:textId="77777777">
        <w:trPr>
          <w:jc w:val="center"/>
        </w:trPr>
        <w:tc>
          <w:tcPr>
            <w:tcW w:w="5040" w:type="dxa"/>
            <w:shd w:val="clear" w:color="auto" w:fill="1F4E78"/>
            <w:vAlign w:val="center"/>
          </w:tcPr>
          <w:p w14:paraId="6717CABB" w14:textId="77777777" w:rsidR="00DF787F" w:rsidRDefault="00000000">
            <w:pPr>
              <w:spacing w:after="0"/>
            </w:pPr>
            <w:r>
              <w:rPr>
                <w:b/>
                <w:color w:val="FFFFFF"/>
                <w:sz w:val="20"/>
              </w:rPr>
              <w:t>Period under review</w:t>
            </w:r>
          </w:p>
        </w:tc>
        <w:tc>
          <w:tcPr>
            <w:tcW w:w="5040" w:type="dxa"/>
            <w:shd w:val="clear" w:color="auto" w:fill="EAF2F8"/>
            <w:vAlign w:val="center"/>
          </w:tcPr>
          <w:p w14:paraId="16C94B11" w14:textId="77777777" w:rsidR="00DF787F" w:rsidRDefault="00000000">
            <w:pPr>
              <w:spacing w:after="0"/>
            </w:pPr>
            <w:r>
              <w:rPr>
                <w:color w:val="333333"/>
                <w:sz w:val="20"/>
              </w:rPr>
              <w:t>1 January 2025 to 31 December 2025</w:t>
            </w:r>
          </w:p>
        </w:tc>
      </w:tr>
      <w:tr w:rsidR="00DF787F" w14:paraId="15C1FD1B" w14:textId="77777777">
        <w:trPr>
          <w:jc w:val="center"/>
        </w:trPr>
        <w:tc>
          <w:tcPr>
            <w:tcW w:w="5040" w:type="dxa"/>
            <w:shd w:val="clear" w:color="auto" w:fill="1F4E78"/>
            <w:vAlign w:val="center"/>
          </w:tcPr>
          <w:p w14:paraId="2A3DA9C7" w14:textId="77777777" w:rsidR="00DF787F" w:rsidRDefault="00000000">
            <w:pPr>
              <w:spacing w:after="0"/>
            </w:pPr>
            <w:r>
              <w:rPr>
                <w:b/>
                <w:color w:val="FFFFFF"/>
                <w:sz w:val="20"/>
              </w:rPr>
              <w:t>Currency</w:t>
            </w:r>
          </w:p>
        </w:tc>
        <w:tc>
          <w:tcPr>
            <w:tcW w:w="5040" w:type="dxa"/>
            <w:shd w:val="clear" w:color="auto" w:fill="EAF2F8"/>
            <w:vAlign w:val="center"/>
          </w:tcPr>
          <w:p w14:paraId="1AA70D9D" w14:textId="77777777" w:rsidR="00DF787F" w:rsidRDefault="00000000">
            <w:pPr>
              <w:spacing w:after="0"/>
            </w:pPr>
            <w:r>
              <w:rPr>
                <w:color w:val="333333"/>
                <w:sz w:val="20"/>
              </w:rPr>
              <w:t>Saudi Riyal (SAR)</w:t>
            </w:r>
          </w:p>
        </w:tc>
      </w:tr>
      <w:tr w:rsidR="00DF787F" w14:paraId="48566F1D" w14:textId="77777777">
        <w:trPr>
          <w:jc w:val="center"/>
        </w:trPr>
        <w:tc>
          <w:tcPr>
            <w:tcW w:w="5040" w:type="dxa"/>
            <w:shd w:val="clear" w:color="auto" w:fill="1F4E78"/>
            <w:vAlign w:val="center"/>
          </w:tcPr>
          <w:p w14:paraId="4E17A9B5" w14:textId="77777777" w:rsidR="00DF787F" w:rsidRDefault="00000000">
            <w:pPr>
              <w:spacing w:after="0"/>
            </w:pPr>
            <w:r>
              <w:rPr>
                <w:b/>
                <w:color w:val="FFFFFF"/>
                <w:sz w:val="20"/>
              </w:rPr>
              <w:t>Document type</w:t>
            </w:r>
          </w:p>
        </w:tc>
        <w:tc>
          <w:tcPr>
            <w:tcW w:w="5040" w:type="dxa"/>
            <w:shd w:val="clear" w:color="auto" w:fill="EAF2F8"/>
            <w:vAlign w:val="center"/>
          </w:tcPr>
          <w:p w14:paraId="7CD667BB" w14:textId="77777777" w:rsidR="00DF787F" w:rsidRDefault="00000000">
            <w:pPr>
              <w:spacing w:after="0"/>
            </w:pPr>
            <w:r>
              <w:rPr>
                <w:color w:val="333333"/>
                <w:sz w:val="20"/>
              </w:rPr>
              <w:t>Executive memorandum for Board-level review</w:t>
            </w:r>
          </w:p>
        </w:tc>
      </w:tr>
      <w:tr w:rsidR="00DF787F" w14:paraId="530D53CF" w14:textId="77777777">
        <w:trPr>
          <w:jc w:val="center"/>
        </w:trPr>
        <w:tc>
          <w:tcPr>
            <w:tcW w:w="5040" w:type="dxa"/>
            <w:shd w:val="clear" w:color="auto" w:fill="1F4E78"/>
            <w:vAlign w:val="center"/>
          </w:tcPr>
          <w:p w14:paraId="36F180E1" w14:textId="77777777" w:rsidR="00DF787F" w:rsidRDefault="00000000">
            <w:pPr>
              <w:spacing w:after="0"/>
            </w:pPr>
            <w:r>
              <w:rPr>
                <w:b/>
                <w:color w:val="FFFFFF"/>
                <w:sz w:val="20"/>
              </w:rPr>
              <w:t>Prepared on</w:t>
            </w:r>
          </w:p>
        </w:tc>
        <w:tc>
          <w:tcPr>
            <w:tcW w:w="5040" w:type="dxa"/>
            <w:shd w:val="clear" w:color="auto" w:fill="EAF2F8"/>
            <w:vAlign w:val="center"/>
          </w:tcPr>
          <w:p w14:paraId="69EA0D4E" w14:textId="4DD4C401" w:rsidR="00DF787F" w:rsidRDefault="00C756BF">
            <w:pPr>
              <w:spacing w:after="0"/>
            </w:pPr>
            <w:r>
              <w:rPr>
                <w:rFonts w:hint="cs"/>
                <w:color w:val="333333"/>
                <w:sz w:val="20"/>
                <w:rtl/>
              </w:rPr>
              <w:t xml:space="preserve"> 27 </w:t>
            </w:r>
            <w:r>
              <w:rPr>
                <w:color w:val="333333"/>
                <w:sz w:val="20"/>
              </w:rPr>
              <w:t xml:space="preserve">Jun </w:t>
            </w:r>
            <w:r w:rsidR="00000000">
              <w:rPr>
                <w:color w:val="333333"/>
                <w:sz w:val="20"/>
              </w:rPr>
              <w:t>2026</w:t>
            </w:r>
          </w:p>
        </w:tc>
      </w:tr>
    </w:tbl>
    <w:p w14:paraId="41550A4F" w14:textId="77777777" w:rsidR="00DF787F" w:rsidRDefault="00000000">
      <w:pPr>
        <w:spacing w:before="500"/>
      </w:pPr>
      <w:r>
        <w:rPr>
          <w:b/>
          <w:color w:val="C00000"/>
        </w:rPr>
        <w:t>Important disclaimer: This memorandum is based entirely on synthetic and fictional data. It does not represent the records of a real company, and it does not provide an audit opinion or evidence of fraud or financial statement misstatement.</w:t>
      </w:r>
    </w:p>
    <w:p w14:paraId="767957EE" w14:textId="77777777" w:rsidR="00DF787F" w:rsidRDefault="00000000">
      <w:r>
        <w:br w:type="page"/>
      </w:r>
    </w:p>
    <w:p w14:paraId="282F407F" w14:textId="77777777" w:rsidR="00DF787F" w:rsidRDefault="00000000">
      <w:pPr>
        <w:pStyle w:val="Heading1"/>
      </w:pPr>
      <w:r>
        <w:rPr>
          <w:rFonts w:ascii="Arial" w:eastAsia="Arial" w:hAnsi="Arial"/>
        </w:rPr>
        <w:lastRenderedPageBreak/>
        <w:t>1. Executive Summary</w:t>
      </w:r>
    </w:p>
    <w:p w14:paraId="37CA0581" w14:textId="77777777" w:rsidR="00DF787F" w:rsidRDefault="00000000">
      <w:r>
        <w:t>This project is an educational simulation of how data analytics can support audit work. Synthetic financial data were created for a fictional retail company and used to analyze the General Ledger and Accounts Payable populations for unusual transactions that may require additional investigation.</w:t>
      </w:r>
    </w:p>
    <w:p w14:paraId="5C41F6A2" w14:textId="77777777" w:rsidR="00DF787F" w:rsidRDefault="00000000">
      <w:r>
        <w:t>The screening identified risk indicators relating to duplicate invoices, high-value transactions, timing, missing documentation, manual journals, and segregation of duties. These indicators do not prove an error or fraud; they form a prioritized list for obtaining evidence and evaluating the accounting treatment.</w:t>
      </w:r>
    </w:p>
    <w:p w14:paraId="699F9DB5" w14:textId="77777777" w:rsidR="00DF787F" w:rsidRDefault="00000000">
      <w:pPr>
        <w:pStyle w:val="Heading1"/>
      </w:pPr>
      <w:r>
        <w:rPr>
          <w:rFonts w:ascii="Arial" w:eastAsia="Arial" w:hAnsi="Arial"/>
        </w:rPr>
        <w:t>2. Key Results at a Glance</w:t>
      </w:r>
    </w:p>
    <w:tbl>
      <w:tblPr>
        <w:tblStyle w:val="TableGrid"/>
        <w:tblW w:w="0" w:type="auto"/>
        <w:jc w:val="center"/>
        <w:tblLook w:val="04A0" w:firstRow="1" w:lastRow="0" w:firstColumn="1" w:lastColumn="0" w:noHBand="0" w:noVBand="1"/>
      </w:tblPr>
      <w:tblGrid>
        <w:gridCol w:w="2590"/>
        <w:gridCol w:w="1870"/>
        <w:gridCol w:w="5610"/>
      </w:tblGrid>
      <w:tr w:rsidR="00DF787F" w14:paraId="06403EF8" w14:textId="77777777">
        <w:trPr>
          <w:jc w:val="center"/>
        </w:trPr>
        <w:tc>
          <w:tcPr>
            <w:tcW w:w="2592" w:type="dxa"/>
            <w:shd w:val="clear" w:color="auto" w:fill="1F4E78"/>
            <w:vAlign w:val="center"/>
          </w:tcPr>
          <w:p w14:paraId="2B72286F" w14:textId="77777777" w:rsidR="00DF787F" w:rsidRDefault="00000000">
            <w:pPr>
              <w:spacing w:after="0"/>
              <w:jc w:val="center"/>
            </w:pPr>
            <w:r>
              <w:rPr>
                <w:b/>
                <w:color w:val="FFFFFF"/>
                <w:sz w:val="18"/>
              </w:rPr>
              <w:t>Metric</w:t>
            </w:r>
          </w:p>
        </w:tc>
        <w:tc>
          <w:tcPr>
            <w:tcW w:w="1872" w:type="dxa"/>
            <w:shd w:val="clear" w:color="auto" w:fill="1F4E78"/>
            <w:vAlign w:val="center"/>
          </w:tcPr>
          <w:p w14:paraId="5585F194" w14:textId="77777777" w:rsidR="00DF787F" w:rsidRDefault="00000000">
            <w:pPr>
              <w:spacing w:after="0"/>
              <w:jc w:val="center"/>
            </w:pPr>
            <w:r>
              <w:rPr>
                <w:b/>
                <w:color w:val="FFFFFF"/>
                <w:sz w:val="18"/>
              </w:rPr>
              <w:t>Result</w:t>
            </w:r>
          </w:p>
        </w:tc>
        <w:tc>
          <w:tcPr>
            <w:tcW w:w="5616" w:type="dxa"/>
            <w:shd w:val="clear" w:color="auto" w:fill="1F4E78"/>
            <w:vAlign w:val="center"/>
          </w:tcPr>
          <w:p w14:paraId="0E91B101" w14:textId="77777777" w:rsidR="00DF787F" w:rsidRDefault="00000000">
            <w:pPr>
              <w:spacing w:after="0"/>
              <w:jc w:val="center"/>
            </w:pPr>
            <w:r>
              <w:rPr>
                <w:b/>
                <w:color w:val="FFFFFF"/>
                <w:sz w:val="18"/>
              </w:rPr>
              <w:t>Management meaning</w:t>
            </w:r>
          </w:p>
        </w:tc>
      </w:tr>
      <w:tr w:rsidR="00DF787F" w14:paraId="4F036A31" w14:textId="77777777">
        <w:trPr>
          <w:jc w:val="center"/>
        </w:trPr>
        <w:tc>
          <w:tcPr>
            <w:tcW w:w="2592" w:type="dxa"/>
            <w:shd w:val="clear" w:color="auto" w:fill="F4F7FA"/>
            <w:vAlign w:val="center"/>
          </w:tcPr>
          <w:p w14:paraId="69BC6E22" w14:textId="77777777" w:rsidR="00DF787F" w:rsidRDefault="00000000">
            <w:pPr>
              <w:spacing w:after="0"/>
            </w:pPr>
            <w:r>
              <w:rPr>
                <w:color w:val="222222"/>
                <w:sz w:val="16"/>
              </w:rPr>
              <w:t>Journal entries</w:t>
            </w:r>
          </w:p>
        </w:tc>
        <w:tc>
          <w:tcPr>
            <w:tcW w:w="1872" w:type="dxa"/>
            <w:shd w:val="clear" w:color="auto" w:fill="F4F7FA"/>
            <w:vAlign w:val="center"/>
          </w:tcPr>
          <w:p w14:paraId="7CD9F779" w14:textId="77777777" w:rsidR="00DF787F" w:rsidRDefault="00000000">
            <w:pPr>
              <w:spacing w:after="0"/>
            </w:pPr>
            <w:r>
              <w:rPr>
                <w:color w:val="222222"/>
                <w:sz w:val="16"/>
              </w:rPr>
              <w:t>500</w:t>
            </w:r>
          </w:p>
        </w:tc>
        <w:tc>
          <w:tcPr>
            <w:tcW w:w="5616" w:type="dxa"/>
            <w:shd w:val="clear" w:color="auto" w:fill="F4F7FA"/>
            <w:vAlign w:val="center"/>
          </w:tcPr>
          <w:p w14:paraId="50F7D717" w14:textId="77777777" w:rsidR="00DF787F" w:rsidRDefault="00000000">
            <w:pPr>
              <w:spacing w:after="0"/>
            </w:pPr>
            <w:r>
              <w:rPr>
                <w:color w:val="222222"/>
                <w:sz w:val="16"/>
              </w:rPr>
              <w:t>Balanced synthetic population for screening</w:t>
            </w:r>
          </w:p>
        </w:tc>
      </w:tr>
      <w:tr w:rsidR="00DF787F" w14:paraId="39025347" w14:textId="77777777">
        <w:trPr>
          <w:jc w:val="center"/>
        </w:trPr>
        <w:tc>
          <w:tcPr>
            <w:tcW w:w="2592" w:type="dxa"/>
            <w:shd w:val="clear" w:color="auto" w:fill="FFFFFF"/>
            <w:vAlign w:val="center"/>
          </w:tcPr>
          <w:p w14:paraId="510DB5AA" w14:textId="77777777" w:rsidR="00DF787F" w:rsidRDefault="00000000">
            <w:pPr>
              <w:spacing w:after="0"/>
            </w:pPr>
            <w:r>
              <w:rPr>
                <w:color w:val="222222"/>
                <w:sz w:val="16"/>
              </w:rPr>
              <w:t>General Ledger lines</w:t>
            </w:r>
          </w:p>
        </w:tc>
        <w:tc>
          <w:tcPr>
            <w:tcW w:w="1872" w:type="dxa"/>
            <w:shd w:val="clear" w:color="auto" w:fill="FFFFFF"/>
            <w:vAlign w:val="center"/>
          </w:tcPr>
          <w:p w14:paraId="15FF08C3" w14:textId="77777777" w:rsidR="00DF787F" w:rsidRDefault="00000000">
            <w:pPr>
              <w:spacing w:after="0"/>
            </w:pPr>
            <w:r>
              <w:rPr>
                <w:color w:val="222222"/>
                <w:sz w:val="16"/>
              </w:rPr>
              <w:t>1,000</w:t>
            </w:r>
          </w:p>
        </w:tc>
        <w:tc>
          <w:tcPr>
            <w:tcW w:w="5616" w:type="dxa"/>
            <w:shd w:val="clear" w:color="auto" w:fill="FFFFFF"/>
            <w:vAlign w:val="center"/>
          </w:tcPr>
          <w:p w14:paraId="73FFD7AF" w14:textId="77777777" w:rsidR="00DF787F" w:rsidRDefault="00000000">
            <w:pPr>
              <w:spacing w:after="0"/>
            </w:pPr>
            <w:r>
              <w:rPr>
                <w:color w:val="222222"/>
                <w:sz w:val="16"/>
              </w:rPr>
              <w:t>Sufficient population for full-population analytics</w:t>
            </w:r>
          </w:p>
        </w:tc>
      </w:tr>
      <w:tr w:rsidR="00DF787F" w14:paraId="3E7312FC" w14:textId="77777777">
        <w:trPr>
          <w:jc w:val="center"/>
        </w:trPr>
        <w:tc>
          <w:tcPr>
            <w:tcW w:w="2592" w:type="dxa"/>
            <w:shd w:val="clear" w:color="auto" w:fill="F4F7FA"/>
            <w:vAlign w:val="center"/>
          </w:tcPr>
          <w:p w14:paraId="2941AAA1" w14:textId="77777777" w:rsidR="00DF787F" w:rsidRDefault="00000000">
            <w:pPr>
              <w:spacing w:after="0"/>
            </w:pPr>
            <w:r>
              <w:rPr>
                <w:color w:val="222222"/>
                <w:sz w:val="16"/>
              </w:rPr>
              <w:t>Accounts Payable invoices</w:t>
            </w:r>
          </w:p>
        </w:tc>
        <w:tc>
          <w:tcPr>
            <w:tcW w:w="1872" w:type="dxa"/>
            <w:shd w:val="clear" w:color="auto" w:fill="F4F7FA"/>
            <w:vAlign w:val="center"/>
          </w:tcPr>
          <w:p w14:paraId="573BA22D" w14:textId="77777777" w:rsidR="00DF787F" w:rsidRDefault="00000000">
            <w:pPr>
              <w:spacing w:after="0"/>
            </w:pPr>
            <w:r>
              <w:rPr>
                <w:color w:val="222222"/>
                <w:sz w:val="16"/>
              </w:rPr>
              <w:t>300</w:t>
            </w:r>
          </w:p>
        </w:tc>
        <w:tc>
          <w:tcPr>
            <w:tcW w:w="5616" w:type="dxa"/>
            <w:shd w:val="clear" w:color="auto" w:fill="F4F7FA"/>
            <w:vAlign w:val="center"/>
          </w:tcPr>
          <w:p w14:paraId="25C98153" w14:textId="77777777" w:rsidR="00DF787F" w:rsidRDefault="00000000">
            <w:pPr>
              <w:spacing w:after="0"/>
            </w:pPr>
            <w:r>
              <w:rPr>
                <w:color w:val="222222"/>
                <w:sz w:val="16"/>
              </w:rPr>
              <w:t>Synthetic supplier invoice population</w:t>
            </w:r>
          </w:p>
        </w:tc>
      </w:tr>
      <w:tr w:rsidR="00DF787F" w14:paraId="3606B69E" w14:textId="77777777">
        <w:trPr>
          <w:jc w:val="center"/>
        </w:trPr>
        <w:tc>
          <w:tcPr>
            <w:tcW w:w="2592" w:type="dxa"/>
            <w:shd w:val="clear" w:color="auto" w:fill="FFFFFF"/>
            <w:vAlign w:val="center"/>
          </w:tcPr>
          <w:p w14:paraId="5FAC3279" w14:textId="77777777" w:rsidR="00DF787F" w:rsidRDefault="00000000">
            <w:pPr>
              <w:spacing w:after="0"/>
            </w:pPr>
            <w:r>
              <w:rPr>
                <w:color w:val="222222"/>
                <w:sz w:val="16"/>
              </w:rPr>
              <w:t>Documented analytics tests</w:t>
            </w:r>
          </w:p>
        </w:tc>
        <w:tc>
          <w:tcPr>
            <w:tcW w:w="1872" w:type="dxa"/>
            <w:shd w:val="clear" w:color="auto" w:fill="FFFFFF"/>
            <w:vAlign w:val="center"/>
          </w:tcPr>
          <w:p w14:paraId="6C193F7E" w14:textId="77777777" w:rsidR="00DF787F" w:rsidRDefault="00000000">
            <w:pPr>
              <w:spacing w:after="0"/>
            </w:pPr>
            <w:r>
              <w:rPr>
                <w:color w:val="222222"/>
                <w:sz w:val="16"/>
              </w:rPr>
              <w:t>15</w:t>
            </w:r>
          </w:p>
        </w:tc>
        <w:tc>
          <w:tcPr>
            <w:tcW w:w="5616" w:type="dxa"/>
            <w:shd w:val="clear" w:color="auto" w:fill="FFFFFF"/>
            <w:vAlign w:val="center"/>
          </w:tcPr>
          <w:p w14:paraId="1FA5C86D" w14:textId="77777777" w:rsidR="00DF787F" w:rsidRDefault="00000000">
            <w:pPr>
              <w:spacing w:after="0"/>
            </w:pPr>
            <w:r>
              <w:rPr>
                <w:color w:val="222222"/>
                <w:sz w:val="16"/>
              </w:rPr>
              <w:t>Coverage of duplication, timing, documentation and authorization risks</w:t>
            </w:r>
          </w:p>
        </w:tc>
      </w:tr>
      <w:tr w:rsidR="00DF787F" w14:paraId="4B67C584" w14:textId="77777777">
        <w:trPr>
          <w:jc w:val="center"/>
        </w:trPr>
        <w:tc>
          <w:tcPr>
            <w:tcW w:w="2592" w:type="dxa"/>
            <w:shd w:val="clear" w:color="auto" w:fill="F4F7FA"/>
            <w:vAlign w:val="center"/>
          </w:tcPr>
          <w:p w14:paraId="3A98AE01" w14:textId="77777777" w:rsidR="00DF787F" w:rsidRDefault="00000000">
            <w:pPr>
              <w:spacing w:after="0"/>
            </w:pPr>
            <w:r>
              <w:rPr>
                <w:color w:val="222222"/>
                <w:sz w:val="16"/>
              </w:rPr>
              <w:t>Exception instances</w:t>
            </w:r>
          </w:p>
        </w:tc>
        <w:tc>
          <w:tcPr>
            <w:tcW w:w="1872" w:type="dxa"/>
            <w:shd w:val="clear" w:color="auto" w:fill="F4F7FA"/>
            <w:vAlign w:val="center"/>
          </w:tcPr>
          <w:p w14:paraId="0E5837B4" w14:textId="77777777" w:rsidR="00DF787F" w:rsidRDefault="00000000">
            <w:pPr>
              <w:spacing w:after="0"/>
            </w:pPr>
            <w:r>
              <w:rPr>
                <w:color w:val="222222"/>
                <w:sz w:val="16"/>
              </w:rPr>
              <w:t>41</w:t>
            </w:r>
          </w:p>
        </w:tc>
        <w:tc>
          <w:tcPr>
            <w:tcW w:w="5616" w:type="dxa"/>
            <w:shd w:val="clear" w:color="auto" w:fill="F4F7FA"/>
            <w:vAlign w:val="center"/>
          </w:tcPr>
          <w:p w14:paraId="695DB7F9" w14:textId="77777777" w:rsidR="00DF787F" w:rsidRDefault="00000000">
            <w:pPr>
              <w:spacing w:after="0"/>
            </w:pPr>
            <w:r>
              <w:rPr>
                <w:color w:val="222222"/>
                <w:sz w:val="16"/>
              </w:rPr>
              <w:t>Transactions or transaction-test combinations requiring follow-up</w:t>
            </w:r>
          </w:p>
        </w:tc>
      </w:tr>
      <w:tr w:rsidR="00DF787F" w14:paraId="751D9669" w14:textId="77777777">
        <w:trPr>
          <w:jc w:val="center"/>
        </w:trPr>
        <w:tc>
          <w:tcPr>
            <w:tcW w:w="2592" w:type="dxa"/>
            <w:shd w:val="clear" w:color="auto" w:fill="FFFFFF"/>
            <w:vAlign w:val="center"/>
          </w:tcPr>
          <w:p w14:paraId="67112EAB" w14:textId="77777777" w:rsidR="00DF787F" w:rsidRDefault="00000000">
            <w:pPr>
              <w:spacing w:after="0"/>
            </w:pPr>
            <w:r>
              <w:rPr>
                <w:color w:val="222222"/>
                <w:sz w:val="16"/>
              </w:rPr>
              <w:t>Unique affected transactions</w:t>
            </w:r>
          </w:p>
        </w:tc>
        <w:tc>
          <w:tcPr>
            <w:tcW w:w="1872" w:type="dxa"/>
            <w:shd w:val="clear" w:color="auto" w:fill="FFFFFF"/>
            <w:vAlign w:val="center"/>
          </w:tcPr>
          <w:p w14:paraId="19384E89" w14:textId="77777777" w:rsidR="00DF787F" w:rsidRDefault="00000000">
            <w:pPr>
              <w:spacing w:after="0"/>
            </w:pPr>
            <w:r>
              <w:rPr>
                <w:color w:val="222222"/>
                <w:sz w:val="16"/>
              </w:rPr>
              <w:t>38</w:t>
            </w:r>
          </w:p>
        </w:tc>
        <w:tc>
          <w:tcPr>
            <w:tcW w:w="5616" w:type="dxa"/>
            <w:shd w:val="clear" w:color="auto" w:fill="FFFFFF"/>
            <w:vAlign w:val="center"/>
          </w:tcPr>
          <w:p w14:paraId="20298D47" w14:textId="77777777" w:rsidR="00DF787F" w:rsidRDefault="00000000">
            <w:pPr>
              <w:spacing w:after="0"/>
            </w:pPr>
            <w:r>
              <w:rPr>
                <w:color w:val="222222"/>
                <w:sz w:val="16"/>
              </w:rPr>
              <w:t>Distinct transaction keys, separated from repeated test flags</w:t>
            </w:r>
          </w:p>
        </w:tc>
      </w:tr>
      <w:tr w:rsidR="00DF787F" w14:paraId="6527D66F" w14:textId="77777777">
        <w:trPr>
          <w:jc w:val="center"/>
        </w:trPr>
        <w:tc>
          <w:tcPr>
            <w:tcW w:w="2592" w:type="dxa"/>
            <w:shd w:val="clear" w:color="auto" w:fill="F4F7FA"/>
            <w:vAlign w:val="center"/>
          </w:tcPr>
          <w:p w14:paraId="0B202E23" w14:textId="77777777" w:rsidR="00DF787F" w:rsidRDefault="00000000">
            <w:pPr>
              <w:spacing w:after="0"/>
            </w:pPr>
            <w:r>
              <w:rPr>
                <w:color w:val="222222"/>
                <w:sz w:val="16"/>
              </w:rPr>
              <w:t>High-priority exceptions</w:t>
            </w:r>
          </w:p>
        </w:tc>
        <w:tc>
          <w:tcPr>
            <w:tcW w:w="1872" w:type="dxa"/>
            <w:shd w:val="clear" w:color="auto" w:fill="F4F7FA"/>
            <w:vAlign w:val="center"/>
          </w:tcPr>
          <w:p w14:paraId="6C96AF15" w14:textId="77777777" w:rsidR="00DF787F" w:rsidRDefault="00000000">
            <w:pPr>
              <w:spacing w:after="0"/>
            </w:pPr>
            <w:r>
              <w:rPr>
                <w:color w:val="222222"/>
                <w:sz w:val="16"/>
              </w:rPr>
              <w:t>5</w:t>
            </w:r>
          </w:p>
        </w:tc>
        <w:tc>
          <w:tcPr>
            <w:tcW w:w="5616" w:type="dxa"/>
            <w:shd w:val="clear" w:color="auto" w:fill="F4F7FA"/>
            <w:vAlign w:val="center"/>
          </w:tcPr>
          <w:p w14:paraId="6BC7A593" w14:textId="77777777" w:rsidR="00DF787F" w:rsidRDefault="00000000">
            <w:pPr>
              <w:spacing w:after="0"/>
            </w:pPr>
            <w:r>
              <w:rPr>
                <w:color w:val="222222"/>
                <w:sz w:val="16"/>
              </w:rPr>
              <w:t>Items to prioritize when requesting evidence</w:t>
            </w:r>
          </w:p>
        </w:tc>
      </w:tr>
      <w:tr w:rsidR="00DF787F" w14:paraId="68A9522E" w14:textId="77777777">
        <w:trPr>
          <w:jc w:val="center"/>
        </w:trPr>
        <w:tc>
          <w:tcPr>
            <w:tcW w:w="2592" w:type="dxa"/>
            <w:shd w:val="clear" w:color="auto" w:fill="FFFFFF"/>
            <w:vAlign w:val="center"/>
          </w:tcPr>
          <w:p w14:paraId="445A5F07" w14:textId="77777777" w:rsidR="00DF787F" w:rsidRDefault="00000000">
            <w:pPr>
              <w:spacing w:after="0"/>
            </w:pPr>
            <w:r>
              <w:rPr>
                <w:color w:val="222222"/>
                <w:sz w:val="16"/>
              </w:rPr>
              <w:t>Confirmed simulated errors</w:t>
            </w:r>
          </w:p>
        </w:tc>
        <w:tc>
          <w:tcPr>
            <w:tcW w:w="1872" w:type="dxa"/>
            <w:shd w:val="clear" w:color="auto" w:fill="FFFFFF"/>
            <w:vAlign w:val="center"/>
          </w:tcPr>
          <w:p w14:paraId="59FC6F4D" w14:textId="77777777" w:rsidR="00DF787F" w:rsidRDefault="00000000">
            <w:pPr>
              <w:spacing w:after="0"/>
            </w:pPr>
            <w:r>
              <w:rPr>
                <w:color w:val="222222"/>
                <w:sz w:val="16"/>
              </w:rPr>
              <w:t>None in the baseline register</w:t>
            </w:r>
          </w:p>
        </w:tc>
        <w:tc>
          <w:tcPr>
            <w:tcW w:w="5616" w:type="dxa"/>
            <w:shd w:val="clear" w:color="auto" w:fill="FFFFFF"/>
            <w:vAlign w:val="center"/>
          </w:tcPr>
          <w:p w14:paraId="4446BC0F" w14:textId="77777777" w:rsidR="00DF787F" w:rsidRDefault="00000000">
            <w:pPr>
              <w:spacing w:after="0"/>
            </w:pPr>
            <w:r>
              <w:rPr>
                <w:color w:val="222222"/>
                <w:sz w:val="16"/>
              </w:rPr>
              <w:t>No confirmed conclusion without supporting evidence</w:t>
            </w:r>
          </w:p>
        </w:tc>
      </w:tr>
    </w:tbl>
    <w:p w14:paraId="42C29A88" w14:textId="77777777" w:rsidR="00DF787F" w:rsidRDefault="00000000">
      <w:pPr>
        <w:pStyle w:val="Heading1"/>
      </w:pPr>
      <w:r>
        <w:rPr>
          <w:rFonts w:ascii="Arial" w:eastAsia="Arial" w:hAnsi="Arial"/>
        </w:rPr>
        <w:t>3. Scope and Methodology</w:t>
      </w:r>
    </w:p>
    <w:p w14:paraId="3EAF3BDB" w14:textId="77777777" w:rsidR="00DF787F" w:rsidRDefault="00000000">
      <w:r>
        <w:t>The analysis covered 1 January 2025 through 31 December 2025, with all amounts denominated in Saudi Riyals. The workflow consisted of data preparation, data-quality validation, risk-based test design, exception identification, evidence planning, and executive reporting.</w:t>
      </w:r>
    </w:p>
    <w:p w14:paraId="63982257" w14:textId="77777777" w:rsidR="00DF787F" w:rsidRDefault="00000000">
      <w:pPr>
        <w:pStyle w:val="ListBullet"/>
        <w:spacing w:after="60"/>
      </w:pPr>
      <w:r>
        <w:t>All records use fictional vendors, employees and transaction identifiers.</w:t>
      </w:r>
    </w:p>
    <w:p w14:paraId="5E6A3F04" w14:textId="77777777" w:rsidR="00DF787F" w:rsidRDefault="00000000">
      <w:pPr>
        <w:pStyle w:val="ListBullet"/>
        <w:spacing w:after="60"/>
      </w:pPr>
      <w:r>
        <w:t>The General Ledger was designed so total debits equal total credits for each complete journal entry.</w:t>
      </w:r>
    </w:p>
    <w:p w14:paraId="2D006D5F" w14:textId="77777777" w:rsidR="00DF787F" w:rsidRDefault="00000000">
      <w:pPr>
        <w:pStyle w:val="ListBullet"/>
        <w:spacing w:after="60"/>
      </w:pPr>
      <w:r>
        <w:t>Accounts Payable records follow the relationship Gross Amount = Net Amount + illustrative VAT.</w:t>
      </w:r>
    </w:p>
    <w:p w14:paraId="0470A517" w14:textId="77777777" w:rsidR="00DF787F" w:rsidRDefault="00000000">
      <w:pPr>
        <w:pStyle w:val="ListBullet"/>
        <w:spacing w:after="60"/>
      </w:pPr>
      <w:r>
        <w:t>Each exception is linked to a test ID and a journal or invoice identifier for traceability.</w:t>
      </w:r>
    </w:p>
    <w:p w14:paraId="707A1315" w14:textId="77777777" w:rsidR="00DF787F" w:rsidRDefault="00000000">
      <w:pPr>
        <w:pStyle w:val="ListBullet"/>
        <w:spacing w:after="60"/>
      </w:pPr>
      <w:r>
        <w:t>Designed scenarios are documented in a separate internal validation sheet rather than presented as real audit evidence.</w:t>
      </w:r>
    </w:p>
    <w:p w14:paraId="163B0185" w14:textId="77777777" w:rsidR="00DF787F" w:rsidRDefault="00000000">
      <w:pPr>
        <w:pStyle w:val="Heading1"/>
      </w:pPr>
      <w:r>
        <w:rPr>
          <w:rFonts w:ascii="Arial" w:eastAsia="Arial" w:hAnsi="Arial"/>
        </w:rPr>
        <w:t>4. Principal Risk Indicators</w:t>
      </w:r>
    </w:p>
    <w:tbl>
      <w:tblPr>
        <w:tblStyle w:val="TableGrid"/>
        <w:tblW w:w="0" w:type="auto"/>
        <w:jc w:val="center"/>
        <w:tblLook w:val="04A0" w:firstRow="1" w:lastRow="0" w:firstColumn="1" w:lastColumn="0" w:noHBand="0" w:noVBand="1"/>
      </w:tblPr>
      <w:tblGrid>
        <w:gridCol w:w="1584"/>
        <w:gridCol w:w="2446"/>
        <w:gridCol w:w="3595"/>
        <w:gridCol w:w="2445"/>
      </w:tblGrid>
      <w:tr w:rsidR="00DF787F" w14:paraId="45749F1B" w14:textId="77777777">
        <w:trPr>
          <w:jc w:val="center"/>
        </w:trPr>
        <w:tc>
          <w:tcPr>
            <w:tcW w:w="1584" w:type="dxa"/>
            <w:shd w:val="clear" w:color="auto" w:fill="1F4E78"/>
            <w:vAlign w:val="center"/>
          </w:tcPr>
          <w:p w14:paraId="70B60C94" w14:textId="77777777" w:rsidR="00DF787F" w:rsidRDefault="00000000">
            <w:pPr>
              <w:spacing w:after="0"/>
              <w:jc w:val="center"/>
            </w:pPr>
            <w:r>
              <w:rPr>
                <w:b/>
                <w:color w:val="FFFFFF"/>
                <w:sz w:val="18"/>
              </w:rPr>
              <w:t>Area</w:t>
            </w:r>
          </w:p>
        </w:tc>
        <w:tc>
          <w:tcPr>
            <w:tcW w:w="2448" w:type="dxa"/>
            <w:shd w:val="clear" w:color="auto" w:fill="1F4E78"/>
            <w:vAlign w:val="center"/>
          </w:tcPr>
          <w:p w14:paraId="130D6BA0" w14:textId="77777777" w:rsidR="00DF787F" w:rsidRDefault="00000000">
            <w:pPr>
              <w:spacing w:after="0"/>
              <w:jc w:val="center"/>
            </w:pPr>
            <w:r>
              <w:rPr>
                <w:b/>
                <w:color w:val="FFFFFF"/>
                <w:sz w:val="18"/>
              </w:rPr>
              <w:t>Indicator</w:t>
            </w:r>
          </w:p>
        </w:tc>
        <w:tc>
          <w:tcPr>
            <w:tcW w:w="3600" w:type="dxa"/>
            <w:shd w:val="clear" w:color="auto" w:fill="1F4E78"/>
            <w:vAlign w:val="center"/>
          </w:tcPr>
          <w:p w14:paraId="04E6954C" w14:textId="77777777" w:rsidR="00DF787F" w:rsidRDefault="00000000">
            <w:pPr>
              <w:spacing w:after="0"/>
              <w:jc w:val="center"/>
            </w:pPr>
            <w:r>
              <w:rPr>
                <w:b/>
                <w:color w:val="FFFFFF"/>
                <w:sz w:val="18"/>
              </w:rPr>
              <w:t>Management interpretation</w:t>
            </w:r>
          </w:p>
        </w:tc>
        <w:tc>
          <w:tcPr>
            <w:tcW w:w="2448" w:type="dxa"/>
            <w:shd w:val="clear" w:color="auto" w:fill="1F4E78"/>
            <w:vAlign w:val="center"/>
          </w:tcPr>
          <w:p w14:paraId="1CFA329E" w14:textId="77777777" w:rsidR="00DF787F" w:rsidRDefault="00000000">
            <w:pPr>
              <w:spacing w:after="0"/>
              <w:jc w:val="center"/>
            </w:pPr>
            <w:r>
              <w:rPr>
                <w:b/>
                <w:color w:val="FFFFFF"/>
                <w:sz w:val="18"/>
              </w:rPr>
              <w:t>Suggested follow-up</w:t>
            </w:r>
          </w:p>
        </w:tc>
      </w:tr>
      <w:tr w:rsidR="00DF787F" w14:paraId="6057971E" w14:textId="77777777">
        <w:trPr>
          <w:jc w:val="center"/>
        </w:trPr>
        <w:tc>
          <w:tcPr>
            <w:tcW w:w="1584" w:type="dxa"/>
            <w:shd w:val="clear" w:color="auto" w:fill="F4F7FA"/>
            <w:vAlign w:val="center"/>
          </w:tcPr>
          <w:p w14:paraId="2608A221" w14:textId="77777777" w:rsidR="00DF787F" w:rsidRDefault="00000000">
            <w:pPr>
              <w:spacing w:after="0"/>
            </w:pPr>
            <w:r>
              <w:rPr>
                <w:color w:val="222222"/>
                <w:sz w:val="16"/>
              </w:rPr>
              <w:t>Accounts Payable</w:t>
            </w:r>
          </w:p>
        </w:tc>
        <w:tc>
          <w:tcPr>
            <w:tcW w:w="2448" w:type="dxa"/>
            <w:shd w:val="clear" w:color="auto" w:fill="F4F7FA"/>
            <w:vAlign w:val="center"/>
          </w:tcPr>
          <w:p w14:paraId="3440A53B" w14:textId="77777777" w:rsidR="00DF787F" w:rsidRDefault="00000000">
            <w:pPr>
              <w:spacing w:after="0"/>
            </w:pPr>
            <w:r>
              <w:rPr>
                <w:color w:val="222222"/>
                <w:sz w:val="16"/>
              </w:rPr>
              <w:t>Repeated supplier invoice number</w:t>
            </w:r>
          </w:p>
        </w:tc>
        <w:tc>
          <w:tcPr>
            <w:tcW w:w="3600" w:type="dxa"/>
            <w:shd w:val="clear" w:color="auto" w:fill="F4F7FA"/>
            <w:vAlign w:val="center"/>
          </w:tcPr>
          <w:p w14:paraId="2F0F88B9" w14:textId="77777777" w:rsidR="00DF787F" w:rsidRDefault="00000000">
            <w:pPr>
              <w:spacing w:after="0"/>
            </w:pPr>
            <w:r>
              <w:rPr>
                <w:color w:val="222222"/>
                <w:sz w:val="16"/>
              </w:rPr>
              <w:t>May be a duplicate entry or a legitimate credit note / split allocation</w:t>
            </w:r>
          </w:p>
        </w:tc>
        <w:tc>
          <w:tcPr>
            <w:tcW w:w="2448" w:type="dxa"/>
            <w:shd w:val="clear" w:color="auto" w:fill="F4F7FA"/>
            <w:vAlign w:val="center"/>
          </w:tcPr>
          <w:p w14:paraId="01FCF535" w14:textId="77777777" w:rsidR="00DF787F" w:rsidRDefault="00000000">
            <w:pPr>
              <w:spacing w:after="0"/>
            </w:pPr>
            <w:r>
              <w:rPr>
                <w:color w:val="222222"/>
                <w:sz w:val="16"/>
              </w:rPr>
              <w:t>Match invoice image, vendor statement and payment record</w:t>
            </w:r>
          </w:p>
        </w:tc>
      </w:tr>
      <w:tr w:rsidR="00DF787F" w14:paraId="5AEEEE9E" w14:textId="77777777">
        <w:trPr>
          <w:jc w:val="center"/>
        </w:trPr>
        <w:tc>
          <w:tcPr>
            <w:tcW w:w="1584" w:type="dxa"/>
            <w:shd w:val="clear" w:color="auto" w:fill="FFFFFF"/>
            <w:vAlign w:val="center"/>
          </w:tcPr>
          <w:p w14:paraId="1B4D41D4" w14:textId="77777777" w:rsidR="00DF787F" w:rsidRDefault="00000000">
            <w:pPr>
              <w:spacing w:after="0"/>
            </w:pPr>
            <w:r>
              <w:rPr>
                <w:color w:val="222222"/>
                <w:sz w:val="16"/>
              </w:rPr>
              <w:t>Financial magnitude</w:t>
            </w:r>
          </w:p>
        </w:tc>
        <w:tc>
          <w:tcPr>
            <w:tcW w:w="2448" w:type="dxa"/>
            <w:shd w:val="clear" w:color="auto" w:fill="FFFFFF"/>
            <w:vAlign w:val="center"/>
          </w:tcPr>
          <w:p w14:paraId="7DE32A05" w14:textId="77777777" w:rsidR="00DF787F" w:rsidRDefault="00000000">
            <w:pPr>
              <w:spacing w:after="0"/>
            </w:pPr>
            <w:r>
              <w:rPr>
                <w:color w:val="222222"/>
                <w:sz w:val="16"/>
              </w:rPr>
              <w:t>High-value transactions or invoices</w:t>
            </w:r>
          </w:p>
        </w:tc>
        <w:tc>
          <w:tcPr>
            <w:tcW w:w="3600" w:type="dxa"/>
            <w:shd w:val="clear" w:color="auto" w:fill="FFFFFF"/>
            <w:vAlign w:val="center"/>
          </w:tcPr>
          <w:p w14:paraId="0ECFF103" w14:textId="77777777" w:rsidR="00DF787F" w:rsidRDefault="00000000">
            <w:pPr>
              <w:spacing w:after="0"/>
            </w:pPr>
            <w:r>
              <w:rPr>
                <w:color w:val="222222"/>
                <w:sz w:val="16"/>
              </w:rPr>
              <w:t>Size warrants review of approval and supporting documents; it is not proof of error</w:t>
            </w:r>
          </w:p>
        </w:tc>
        <w:tc>
          <w:tcPr>
            <w:tcW w:w="2448" w:type="dxa"/>
            <w:shd w:val="clear" w:color="auto" w:fill="FFFFFF"/>
            <w:vAlign w:val="center"/>
          </w:tcPr>
          <w:p w14:paraId="5A5DC8D8" w14:textId="77777777" w:rsidR="00DF787F" w:rsidRDefault="00000000">
            <w:pPr>
              <w:spacing w:after="0"/>
            </w:pPr>
            <w:r>
              <w:rPr>
                <w:color w:val="222222"/>
                <w:sz w:val="16"/>
              </w:rPr>
              <w:t>Inspect contract, purchase order, receipt and approval</w:t>
            </w:r>
          </w:p>
        </w:tc>
      </w:tr>
      <w:tr w:rsidR="00DF787F" w14:paraId="02398D47" w14:textId="77777777">
        <w:trPr>
          <w:jc w:val="center"/>
        </w:trPr>
        <w:tc>
          <w:tcPr>
            <w:tcW w:w="1584" w:type="dxa"/>
            <w:shd w:val="clear" w:color="auto" w:fill="F4F7FA"/>
            <w:vAlign w:val="center"/>
          </w:tcPr>
          <w:p w14:paraId="1B450FAC" w14:textId="77777777" w:rsidR="00DF787F" w:rsidRDefault="00000000">
            <w:pPr>
              <w:spacing w:after="0"/>
            </w:pPr>
            <w:r>
              <w:rPr>
                <w:color w:val="222222"/>
                <w:sz w:val="16"/>
              </w:rPr>
              <w:t>Timing</w:t>
            </w:r>
          </w:p>
        </w:tc>
        <w:tc>
          <w:tcPr>
            <w:tcW w:w="2448" w:type="dxa"/>
            <w:shd w:val="clear" w:color="auto" w:fill="F4F7FA"/>
            <w:vAlign w:val="center"/>
          </w:tcPr>
          <w:p w14:paraId="4376FF05" w14:textId="77777777" w:rsidR="00DF787F" w:rsidRDefault="00000000">
            <w:pPr>
              <w:spacing w:after="0"/>
            </w:pPr>
            <w:r>
              <w:rPr>
                <w:color w:val="222222"/>
                <w:sz w:val="16"/>
              </w:rPr>
              <w:t>Year-end, weekend or after-hours postings</w:t>
            </w:r>
          </w:p>
        </w:tc>
        <w:tc>
          <w:tcPr>
            <w:tcW w:w="3600" w:type="dxa"/>
            <w:shd w:val="clear" w:color="auto" w:fill="F4F7FA"/>
            <w:vAlign w:val="center"/>
          </w:tcPr>
          <w:p w14:paraId="47222BDF" w14:textId="77777777" w:rsidR="00DF787F" w:rsidRDefault="00000000">
            <w:pPr>
              <w:spacing w:after="0"/>
            </w:pPr>
            <w:r>
              <w:rPr>
                <w:color w:val="222222"/>
                <w:sz w:val="16"/>
              </w:rPr>
              <w:t>May warrant review of timing and approval workflow, but may be legitimate</w:t>
            </w:r>
          </w:p>
        </w:tc>
        <w:tc>
          <w:tcPr>
            <w:tcW w:w="2448" w:type="dxa"/>
            <w:shd w:val="clear" w:color="auto" w:fill="F4F7FA"/>
            <w:vAlign w:val="center"/>
          </w:tcPr>
          <w:p w14:paraId="04F9E7AD" w14:textId="77777777" w:rsidR="00DF787F" w:rsidRDefault="00000000">
            <w:pPr>
              <w:spacing w:after="0"/>
            </w:pPr>
            <w:r>
              <w:rPr>
                <w:color w:val="222222"/>
                <w:sz w:val="16"/>
              </w:rPr>
              <w:t>Review system logs, business rationale and approval</w:t>
            </w:r>
          </w:p>
        </w:tc>
      </w:tr>
      <w:tr w:rsidR="00DF787F" w14:paraId="0D30ACD9" w14:textId="77777777">
        <w:trPr>
          <w:jc w:val="center"/>
        </w:trPr>
        <w:tc>
          <w:tcPr>
            <w:tcW w:w="1584" w:type="dxa"/>
            <w:shd w:val="clear" w:color="auto" w:fill="FFFFFF"/>
            <w:vAlign w:val="center"/>
          </w:tcPr>
          <w:p w14:paraId="74ED7D75" w14:textId="77777777" w:rsidR="00DF787F" w:rsidRDefault="00000000">
            <w:pPr>
              <w:spacing w:after="0"/>
            </w:pPr>
            <w:r>
              <w:rPr>
                <w:color w:val="222222"/>
                <w:sz w:val="16"/>
              </w:rPr>
              <w:t>Documentation</w:t>
            </w:r>
          </w:p>
        </w:tc>
        <w:tc>
          <w:tcPr>
            <w:tcW w:w="2448" w:type="dxa"/>
            <w:shd w:val="clear" w:color="auto" w:fill="FFFFFF"/>
            <w:vAlign w:val="center"/>
          </w:tcPr>
          <w:p w14:paraId="55F2F933" w14:textId="77777777" w:rsidR="00DF787F" w:rsidRDefault="00000000">
            <w:pPr>
              <w:spacing w:after="0"/>
            </w:pPr>
            <w:r>
              <w:rPr>
                <w:color w:val="222222"/>
                <w:sz w:val="16"/>
              </w:rPr>
              <w:t>Missing purchase order, receipt or supporting document</w:t>
            </w:r>
          </w:p>
        </w:tc>
        <w:tc>
          <w:tcPr>
            <w:tcW w:w="3600" w:type="dxa"/>
            <w:shd w:val="clear" w:color="auto" w:fill="FFFFFF"/>
            <w:vAlign w:val="center"/>
          </w:tcPr>
          <w:p w14:paraId="654F087F" w14:textId="77777777" w:rsidR="00DF787F" w:rsidRDefault="00000000">
            <w:pPr>
              <w:spacing w:after="0"/>
            </w:pPr>
            <w:r>
              <w:rPr>
                <w:color w:val="222222"/>
                <w:sz w:val="16"/>
              </w:rPr>
              <w:t>May increase the risk of unsupported or non-compliant purchases</w:t>
            </w:r>
          </w:p>
        </w:tc>
        <w:tc>
          <w:tcPr>
            <w:tcW w:w="2448" w:type="dxa"/>
            <w:shd w:val="clear" w:color="auto" w:fill="FFFFFF"/>
            <w:vAlign w:val="center"/>
          </w:tcPr>
          <w:p w14:paraId="2405CA5A" w14:textId="77777777" w:rsidR="00DF787F" w:rsidRDefault="00000000">
            <w:pPr>
              <w:spacing w:after="0"/>
            </w:pPr>
            <w:r>
              <w:rPr>
                <w:color w:val="222222"/>
                <w:sz w:val="16"/>
              </w:rPr>
              <w:t>Obtain documents and assess whether they are required for the transaction type</w:t>
            </w:r>
          </w:p>
        </w:tc>
      </w:tr>
      <w:tr w:rsidR="00DF787F" w14:paraId="72C8A26E" w14:textId="77777777">
        <w:trPr>
          <w:jc w:val="center"/>
        </w:trPr>
        <w:tc>
          <w:tcPr>
            <w:tcW w:w="1584" w:type="dxa"/>
            <w:shd w:val="clear" w:color="auto" w:fill="F4F7FA"/>
            <w:vAlign w:val="center"/>
          </w:tcPr>
          <w:p w14:paraId="1F63C59E" w14:textId="77777777" w:rsidR="00DF787F" w:rsidRDefault="00000000">
            <w:pPr>
              <w:spacing w:after="0"/>
            </w:pPr>
            <w:r>
              <w:rPr>
                <w:color w:val="222222"/>
                <w:sz w:val="16"/>
              </w:rPr>
              <w:t>Period recognition</w:t>
            </w:r>
          </w:p>
        </w:tc>
        <w:tc>
          <w:tcPr>
            <w:tcW w:w="2448" w:type="dxa"/>
            <w:shd w:val="clear" w:color="auto" w:fill="F4F7FA"/>
            <w:vAlign w:val="center"/>
          </w:tcPr>
          <w:p w14:paraId="51A10E7F" w14:textId="77777777" w:rsidR="00DF787F" w:rsidRDefault="00000000">
            <w:pPr>
              <w:spacing w:after="0"/>
            </w:pPr>
            <w:r>
              <w:rPr>
                <w:color w:val="222222"/>
                <w:sz w:val="16"/>
              </w:rPr>
              <w:t>Invoice/posting gaps and year-end cut-off candidates</w:t>
            </w:r>
          </w:p>
        </w:tc>
        <w:tc>
          <w:tcPr>
            <w:tcW w:w="3600" w:type="dxa"/>
            <w:shd w:val="clear" w:color="auto" w:fill="F4F7FA"/>
            <w:vAlign w:val="center"/>
          </w:tcPr>
          <w:p w14:paraId="2AB5FEA5" w14:textId="77777777" w:rsidR="00DF787F" w:rsidRDefault="00000000">
            <w:pPr>
              <w:spacing w:after="0"/>
            </w:pPr>
            <w:r>
              <w:rPr>
                <w:color w:val="222222"/>
                <w:sz w:val="16"/>
              </w:rPr>
              <w:t>May affect expense or liability recognition in the correct period</w:t>
            </w:r>
          </w:p>
        </w:tc>
        <w:tc>
          <w:tcPr>
            <w:tcW w:w="2448" w:type="dxa"/>
            <w:shd w:val="clear" w:color="auto" w:fill="F4F7FA"/>
            <w:vAlign w:val="center"/>
          </w:tcPr>
          <w:p w14:paraId="22F6D7FC" w14:textId="77777777" w:rsidR="00DF787F" w:rsidRDefault="00000000">
            <w:pPr>
              <w:spacing w:after="0"/>
            </w:pPr>
            <w:r>
              <w:rPr>
                <w:color w:val="222222"/>
                <w:sz w:val="16"/>
              </w:rPr>
              <w:t>Review receipt date, service period and subsequent entries</w:t>
            </w:r>
          </w:p>
        </w:tc>
      </w:tr>
      <w:tr w:rsidR="00DF787F" w14:paraId="25231946" w14:textId="77777777">
        <w:trPr>
          <w:jc w:val="center"/>
        </w:trPr>
        <w:tc>
          <w:tcPr>
            <w:tcW w:w="1584" w:type="dxa"/>
            <w:shd w:val="clear" w:color="auto" w:fill="FFFFFF"/>
            <w:vAlign w:val="center"/>
          </w:tcPr>
          <w:p w14:paraId="160C4588" w14:textId="77777777" w:rsidR="00DF787F" w:rsidRDefault="00000000">
            <w:pPr>
              <w:spacing w:after="0"/>
            </w:pPr>
            <w:r>
              <w:rPr>
                <w:color w:val="222222"/>
                <w:sz w:val="16"/>
              </w:rPr>
              <w:t>Control environment</w:t>
            </w:r>
          </w:p>
        </w:tc>
        <w:tc>
          <w:tcPr>
            <w:tcW w:w="2448" w:type="dxa"/>
            <w:shd w:val="clear" w:color="auto" w:fill="FFFFFF"/>
            <w:vAlign w:val="center"/>
          </w:tcPr>
          <w:p w14:paraId="6FD437B6" w14:textId="77777777" w:rsidR="00DF787F" w:rsidRDefault="00000000">
            <w:pPr>
              <w:spacing w:after="0"/>
            </w:pPr>
            <w:r>
              <w:rPr>
                <w:color w:val="222222"/>
                <w:sz w:val="16"/>
              </w:rPr>
              <w:t>Creator and approver are the same person</w:t>
            </w:r>
          </w:p>
        </w:tc>
        <w:tc>
          <w:tcPr>
            <w:tcW w:w="3600" w:type="dxa"/>
            <w:shd w:val="clear" w:color="auto" w:fill="FFFFFF"/>
            <w:vAlign w:val="center"/>
          </w:tcPr>
          <w:p w14:paraId="3B6A41FF" w14:textId="77777777" w:rsidR="00DF787F" w:rsidRDefault="00000000">
            <w:pPr>
              <w:spacing w:after="0"/>
            </w:pPr>
            <w:r>
              <w:rPr>
                <w:color w:val="222222"/>
                <w:sz w:val="16"/>
              </w:rPr>
              <w:t>Potential segregation-of-duties indicator, not evidence of fraud</w:t>
            </w:r>
          </w:p>
        </w:tc>
        <w:tc>
          <w:tcPr>
            <w:tcW w:w="2448" w:type="dxa"/>
            <w:shd w:val="clear" w:color="auto" w:fill="FFFFFF"/>
            <w:vAlign w:val="center"/>
          </w:tcPr>
          <w:p w14:paraId="7672974B" w14:textId="77777777" w:rsidR="00DF787F" w:rsidRDefault="00000000">
            <w:pPr>
              <w:spacing w:after="0"/>
            </w:pPr>
            <w:r>
              <w:rPr>
                <w:color w:val="222222"/>
                <w:sz w:val="16"/>
              </w:rPr>
              <w:t>Review access rights and compensating controls</w:t>
            </w:r>
          </w:p>
        </w:tc>
      </w:tr>
    </w:tbl>
    <w:p w14:paraId="4E8D642D" w14:textId="77777777" w:rsidR="00DF787F" w:rsidRDefault="00000000">
      <w:pPr>
        <w:pStyle w:val="Heading1"/>
      </w:pPr>
      <w:r>
        <w:rPr>
          <w:rFonts w:ascii="Arial" w:eastAsia="Arial" w:hAnsi="Arial"/>
        </w:rPr>
        <w:lastRenderedPageBreak/>
        <w:t>5. Role of the Excel Workbook</w:t>
      </w:r>
    </w:p>
    <w:p w14:paraId="2148F2B5" w14:textId="77777777" w:rsidR="00DF787F" w:rsidRDefault="00000000">
      <w:r>
        <w:t>Excel was used as the primary working tool to organize the data, perform the tests and communicate the results. The workbook is designed so that assumptions can be updated and calculations can be reviewed rather than relying on hidden or unexplained outputs.</w:t>
      </w:r>
    </w:p>
    <w:p w14:paraId="0693D3DD" w14:textId="77777777" w:rsidR="00DF787F" w:rsidRDefault="00000000">
      <w:pPr>
        <w:pStyle w:val="ListBullet"/>
        <w:spacing w:after="60"/>
      </w:pPr>
      <w:r>
        <w:t>The Parameters sheet centralizes screening thresholds such as the high-value limit, year-end window and business hours.</w:t>
      </w:r>
    </w:p>
    <w:p w14:paraId="70336B0C" w14:textId="77777777" w:rsidR="00DF787F" w:rsidRDefault="00000000">
      <w:pPr>
        <w:pStyle w:val="ListBullet"/>
        <w:spacing w:after="60"/>
      </w:pPr>
      <w:r>
        <w:t>The GL and AP sheets contain filterable tables with formula-driven indicators.</w:t>
      </w:r>
    </w:p>
    <w:p w14:paraId="7F9E9A2D" w14:textId="77777777" w:rsidR="00DF787F" w:rsidRDefault="00000000">
      <w:pPr>
        <w:pStyle w:val="ListBullet"/>
        <w:spacing w:after="60"/>
      </w:pPr>
      <w:r>
        <w:t>The Analytics Tests sheet documents each test objective, risk, assertion, data source, method, interpretation and recommended follow-up.</w:t>
      </w:r>
    </w:p>
    <w:p w14:paraId="028DA311" w14:textId="77777777" w:rsidR="00DF787F" w:rsidRDefault="00000000">
      <w:pPr>
        <w:pStyle w:val="ListBullet"/>
        <w:spacing w:after="60"/>
      </w:pPr>
      <w:r>
        <w:t>The Exception Register converts results into a review queue containing the reason, priority, required evidence and investigation status.</w:t>
      </w:r>
    </w:p>
    <w:p w14:paraId="0EB57A40" w14:textId="77777777" w:rsidR="00DF787F" w:rsidRDefault="00000000">
      <w:pPr>
        <w:pStyle w:val="ListBullet"/>
        <w:spacing w:after="60"/>
      </w:pPr>
      <w:r>
        <w:t>The Dashboard provides executive metrics and charts while clearly distinguishing exception instances from confirmed misstatements.</w:t>
      </w:r>
    </w:p>
    <w:p w14:paraId="631FB022" w14:textId="77777777" w:rsidR="00DF787F" w:rsidRDefault="00000000">
      <w:r>
        <w:t>The key design principle is the separation between a transaction that triggers a screening rule and a confirmed error. The formula identifies items for review; evidence and professional judgment are required before reaching a conclusion.</w:t>
      </w:r>
    </w:p>
    <w:p w14:paraId="51B4F2C0" w14:textId="77777777" w:rsidR="00DF787F" w:rsidRDefault="00000000">
      <w:pPr>
        <w:pStyle w:val="Heading1"/>
      </w:pPr>
      <w:r>
        <w:rPr>
          <w:rFonts w:ascii="Arial" w:eastAsia="Arial" w:hAnsi="Arial"/>
        </w:rPr>
        <w:t>6. Recommendations to the Board</w:t>
      </w:r>
    </w:p>
    <w:p w14:paraId="25D186E5" w14:textId="77777777" w:rsidR="00DF787F" w:rsidRDefault="00000000">
      <w:pPr>
        <w:pStyle w:val="ListBullet"/>
        <w:spacing w:after="60"/>
      </w:pPr>
      <w:r>
        <w:t>Strengthen duplicate-invoice prevention controls before invoice posting or payment.</w:t>
      </w:r>
    </w:p>
    <w:p w14:paraId="7230BC2E" w14:textId="77777777" w:rsidR="00DF787F" w:rsidRDefault="00000000">
      <w:pPr>
        <w:pStyle w:val="ListBullet"/>
        <w:spacing w:after="60"/>
      </w:pPr>
      <w:r>
        <w:t>Improve the retention and linkage of purchase orders, goods receipts and approvals.</w:t>
      </w:r>
    </w:p>
    <w:p w14:paraId="52B02B5E" w14:textId="77777777" w:rsidR="00DF787F" w:rsidRDefault="00000000">
      <w:pPr>
        <w:pStyle w:val="ListBullet"/>
        <w:spacing w:after="60"/>
      </w:pPr>
      <w:r>
        <w:t>Review the approval and segregation-of-duties design for manual journal entries.</w:t>
      </w:r>
    </w:p>
    <w:p w14:paraId="4B7C9C53" w14:textId="77777777" w:rsidR="00DF787F" w:rsidRDefault="00000000">
      <w:pPr>
        <w:pStyle w:val="ListBullet"/>
        <w:spacing w:after="60"/>
      </w:pPr>
      <w:r>
        <w:t>Introduce documented review of high-value and period-end journal entries.</w:t>
      </w:r>
    </w:p>
    <w:p w14:paraId="0685FA91" w14:textId="77777777" w:rsidR="00DF787F" w:rsidRDefault="00000000">
      <w:pPr>
        <w:pStyle w:val="ListBullet"/>
        <w:spacing w:after="60"/>
      </w:pPr>
      <w:r>
        <w:t>Develop a complete cut-off procedure using subsequent-period records and payment data when available.</w:t>
      </w:r>
    </w:p>
    <w:p w14:paraId="5CEA3B0E" w14:textId="77777777" w:rsidR="00DF787F" w:rsidRDefault="00000000">
      <w:pPr>
        <w:pStyle w:val="ListBullet"/>
        <w:spacing w:after="60"/>
      </w:pPr>
      <w:r>
        <w:t>Use exception dashboards to prioritize review, not as a substitute for documentary testing or professional judgment.</w:t>
      </w:r>
    </w:p>
    <w:p w14:paraId="20E872A3" w14:textId="77777777" w:rsidR="00DF787F" w:rsidRDefault="00000000">
      <w:pPr>
        <w:pStyle w:val="Heading1"/>
      </w:pPr>
      <w:r>
        <w:rPr>
          <w:rFonts w:ascii="Arial" w:eastAsia="Arial" w:hAnsi="Arial"/>
        </w:rPr>
        <w:t>7. Limitations and Assumptions</w:t>
      </w:r>
    </w:p>
    <w:p w14:paraId="108295EF" w14:textId="77777777" w:rsidR="00DF787F" w:rsidRDefault="00000000">
      <w:r>
        <w:t>This simulation is not a real audit engagement. All companies, people, records and transactions are fictional. No actual supplier invoices, bank records, external confirmations, company data or independent evidence were obtained. Duplicate-payment testing is limited because no separate payment register was provided, and the year-end cut-off screen is illustrative because a complete subsequent-period population was not included.</w:t>
      </w:r>
    </w:p>
    <w:p w14:paraId="7CBEA692" w14:textId="77777777" w:rsidR="00DF787F" w:rsidRDefault="00000000">
      <w:r>
        <w:t>The screening thresholds are educational assumptions and are not approved materiality levels or thresholds issued by a real company. Results should therefore be interpreted as investigation indicators rather than confirmed misstatements or evidence of fraud.</w:t>
      </w:r>
    </w:p>
    <w:p w14:paraId="39092A72" w14:textId="77777777" w:rsidR="00DF787F" w:rsidRDefault="00000000">
      <w:pPr>
        <w:pStyle w:val="Heading1"/>
      </w:pPr>
      <w:r>
        <w:rPr>
          <w:rFonts w:ascii="Arial" w:eastAsia="Arial" w:hAnsi="Arial"/>
        </w:rPr>
        <w:t>8. Conclusion</w:t>
      </w:r>
    </w:p>
    <w:p w14:paraId="4995D16C" w14:textId="2FE34755" w:rsidR="00DF787F" w:rsidRDefault="00000000" w:rsidP="00C756BF">
      <w:r>
        <w:t xml:space="preserve">The project demonstrates how data analytics can help management and auditors move from a broad review of accounting data to a focused list of transactions requiring attention. </w:t>
      </w:r>
    </w:p>
    <w:p w14:paraId="1DD4DEAC" w14:textId="77777777" w:rsidR="00C756BF" w:rsidRDefault="00C756BF">
      <w:pPr>
        <w:spacing w:before="360"/>
        <w:rPr>
          <w:b/>
          <w:color w:val="1F4E79"/>
        </w:rPr>
      </w:pPr>
    </w:p>
    <w:p w14:paraId="138FF4BA" w14:textId="3D34635E" w:rsidR="00DF787F" w:rsidRDefault="00000000">
      <w:pPr>
        <w:spacing w:before="360"/>
      </w:pPr>
      <w:r>
        <w:rPr>
          <w:b/>
          <w:color w:val="1F4E79"/>
        </w:rPr>
        <w:lastRenderedPageBreak/>
        <w:t>Executive conclusion: The analysis identified indicators requiring follow-up, but it did not establish errors or fraud. The principal value of the project is improved review prioritization and traceable linkage between analytics results and the evidence required.</w:t>
      </w:r>
    </w:p>
    <w:sectPr w:rsidR="00DF787F"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861F" w14:textId="77777777" w:rsidR="00FB48D5" w:rsidRDefault="00FB48D5">
      <w:pPr>
        <w:spacing w:after="0" w:line="240" w:lineRule="auto"/>
      </w:pPr>
      <w:r>
        <w:separator/>
      </w:r>
    </w:p>
  </w:endnote>
  <w:endnote w:type="continuationSeparator" w:id="0">
    <w:p w14:paraId="127DE165" w14:textId="77777777" w:rsidR="00FB48D5" w:rsidRDefault="00FB4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5950" w14:textId="77777777" w:rsidR="00DF787F" w:rsidRDefault="00000000">
    <w:pPr>
      <w:pStyle w:val="Footer"/>
      <w:jc w:val="center"/>
    </w:pPr>
    <w:r>
      <w:rPr>
        <w:color w:val="646464"/>
        <w:sz w:val="18"/>
      </w:rPr>
      <w:t xml:space="preserve">Page </w:t>
    </w:r>
    <w:r>
      <w:rPr>
        <w:color w:val="646464"/>
        <w:sz w:val="18"/>
      </w:rPr>
      <w:fldChar w:fldCharType="begin"/>
    </w:r>
    <w:r>
      <w:rPr>
        <w:color w:val="646464"/>
        <w:sz w:val="18"/>
      </w:rPr>
      <w:instrText>PAGE</w:instrText>
    </w:r>
    <w:r w:rsidR="00C756BF">
      <w:rPr>
        <w:color w:val="646464"/>
        <w:sz w:val="18"/>
      </w:rPr>
      <w:fldChar w:fldCharType="separate"/>
    </w:r>
    <w:r w:rsidR="00C756BF">
      <w:rPr>
        <w:noProof/>
        <w:color w:val="646464"/>
        <w:sz w:val="18"/>
      </w:rPr>
      <w:t>1</w:t>
    </w:r>
    <w:r>
      <w:rPr>
        <w:color w:val="6464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A61B4" w14:textId="77777777" w:rsidR="00FB48D5" w:rsidRDefault="00FB48D5">
      <w:pPr>
        <w:spacing w:after="0" w:line="240" w:lineRule="auto"/>
      </w:pPr>
      <w:r>
        <w:separator/>
      </w:r>
    </w:p>
  </w:footnote>
  <w:footnote w:type="continuationSeparator" w:id="0">
    <w:p w14:paraId="76900F76" w14:textId="77777777" w:rsidR="00FB48D5" w:rsidRDefault="00FB4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FF84" w14:textId="77777777" w:rsidR="00DF787F" w:rsidRDefault="00000000">
    <w:pPr>
      <w:pStyle w:val="Header"/>
      <w:jc w:val="right"/>
    </w:pPr>
    <w:r>
      <w:rPr>
        <w:color w:val="646464"/>
        <w:sz w:val="18"/>
      </w:rPr>
      <w:t>Executive Memorandum | Audit Data Analytics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2793914">
    <w:abstractNumId w:val="8"/>
  </w:num>
  <w:num w:numId="2" w16cid:durableId="1164662703">
    <w:abstractNumId w:val="6"/>
  </w:num>
  <w:num w:numId="3" w16cid:durableId="1068454172">
    <w:abstractNumId w:val="5"/>
  </w:num>
  <w:num w:numId="4" w16cid:durableId="1266377646">
    <w:abstractNumId w:val="4"/>
  </w:num>
  <w:num w:numId="5" w16cid:durableId="1402213082">
    <w:abstractNumId w:val="7"/>
  </w:num>
  <w:num w:numId="6" w16cid:durableId="15543944">
    <w:abstractNumId w:val="3"/>
  </w:num>
  <w:num w:numId="7" w16cid:durableId="1172329266">
    <w:abstractNumId w:val="2"/>
  </w:num>
  <w:num w:numId="8" w16cid:durableId="1696467152">
    <w:abstractNumId w:val="1"/>
  </w:num>
  <w:num w:numId="9" w16cid:durableId="1826773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57738"/>
    <w:rsid w:val="00AA1D8D"/>
    <w:rsid w:val="00B47730"/>
    <w:rsid w:val="00C756BF"/>
    <w:rsid w:val="00CB0664"/>
    <w:rsid w:val="00DF787F"/>
    <w:rsid w:val="00FB48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4DCCEB"/>
  <w14:defaultImageDpi w14:val="300"/>
  <w15:docId w15:val="{0D0241A0-01A1-495E-9656-49F6EC0F9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F4E7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1022</Words>
  <Characters>5832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aldalbahi</dc:creator>
  <cp:keywords/>
  <dc:description>generated by python-docx</dc:description>
  <cp:lastModifiedBy>حنان شرار بن ذعار الدلبحي</cp:lastModifiedBy>
  <cp:revision>2</cp:revision>
  <dcterms:created xsi:type="dcterms:W3CDTF">2026-10-24T00:38:00Z</dcterms:created>
  <dcterms:modified xsi:type="dcterms:W3CDTF">2026-10-24T00:38:00Z</dcterms:modified>
  <cp:category/>
</cp:coreProperties>
</file>