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1B3A6B" w:val="clear"/>
            <w:tcMar>
              <w:top w:type="dxa" w:w="1200"/>
              <w:left w:type="dxa" w:w="1440"/>
              <w:bottom w:type="dxa" w:w="800"/>
              <w:right w:type="dxa" w:w="1440"/>
            </w:tcMar>
          </w:tcPr>
          <w:p>
            <w:pPr>
              <w:jc w:val="center"/>
            </w:pPr>
            <w:r>
              <w:rPr>
                <w:rFonts w:ascii="Arial" w:cs="Arial" w:eastAsia="Arial" w:hAnsi="Arial"/>
                <w:b/>
                <w:bCs/>
                <w:color w:val="FFFFFF"/>
                <w:sz w:val="56"/>
                <w:szCs w:val="56"/>
              </w:rPr>
              <w:t xml:space="preserve">MBS COMUNICACIONES</w:t>
            </w:r>
          </w:p>
          <w:p>
            <w:pPr>
              <w:jc w:val="center"/>
            </w:pPr>
            <w:r>
              <w:rPr>
                <w:rFonts w:ascii="Arial" w:cs="Arial" w:eastAsia="Arial" w:hAnsi="Arial"/>
                <w:color w:val="A8C4E8"/>
                <w:sz w:val="26"/>
                <w:szCs w:val="26"/>
              </w:rPr>
              <w:t xml:space="preserve">Insumos de Fibra Óptica para Profesionales</w:t>
            </w:r>
          </w:p>
        </w:tc>
      </w:tr>
    </w:tbl>
    <w:p>
      <w:r>
        <w:t xml:space="preserve"/>
      </w:r>
    </w:p>
    <w:p>
      <w:r>
        <w:t xml:space="preserve"/>
      </w:r>
    </w:p>
    <w:p>
      <w:pPr>
        <w:spacing w:after="200" w:before="800"/>
        <w:jc w:val="center"/>
      </w:pPr>
      <w:r>
        <w:rPr>
          <w:rFonts w:ascii="Arial" w:cs="Arial" w:eastAsia="Arial" w:hAnsi="Arial"/>
          <w:b/>
          <w:bCs/>
          <w:color w:val="2E5FA3"/>
          <w:sz w:val="40"/>
          <w:szCs w:val="40"/>
        </w:rPr>
        <w:t xml:space="preserve">DOCUMENTACIÓN TÉCNICA</w:t>
      </w:r>
    </w:p>
    <w:p>
      <w:pPr>
        <w:spacing w:after="600" w:before="100"/>
        <w:jc w:val="center"/>
      </w:pPr>
      <w:r>
        <w:rPr>
          <w:rFonts w:ascii="Arial" w:cs="Arial" w:eastAsia="Arial" w:hAnsi="Arial"/>
          <w:b/>
          <w:bCs/>
          <w:color w:val="1B3A6B"/>
          <w:sz w:val="32"/>
          <w:szCs w:val="32"/>
        </w:rPr>
        <w:t xml:space="preserve">Base de Datos — Scripts SQL</w:t>
      </w:r>
    </w:p>
    <w:p>
      <w:pPr>
        <w:pBdr>
          <w:bottom w:val="single" w:color="2E5FA3" w:sz="6" w:space="1"/>
        </w:pBdr>
        <w:jc w:val="center"/>
      </w:pPr>
      <w:r>
        <w:t xml:space="preserve"/>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Proyecto</w:t>
            </w:r>
          </w:p>
        </w:tc>
        <w:tc>
          <w:tcPr>
            <w:tcW w:type="dxa" w:w="4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MBS Comunicaciones — Panel Administrativo</w:t>
            </w:r>
          </w:p>
        </w:tc>
      </w:tr>
      <w:tr>
        <w:tc>
          <w:tcPr>
            <w:tcW w:type="dxa" w:w="2400"/>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Tipo de documento</w:t>
            </w:r>
          </w:p>
        </w:tc>
        <w:tc>
          <w:tcPr>
            <w:tcW w:type="dxa" w:w="48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color w:val="1A1A1A"/>
                <w:sz w:val="20"/>
                <w:szCs w:val="20"/>
              </w:rPr>
              <w:t xml:space="preserve">Documentación técnica de base de datos</w:t>
            </w:r>
          </w:p>
        </w:tc>
      </w:tr>
      <w:tr>
        <w:tc>
          <w:tcPr>
            <w:tcW w:type="dxa" w:w="2400"/>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Motor de BD</w:t>
            </w:r>
          </w:p>
        </w:tc>
        <w:tc>
          <w:tcPr>
            <w:tcW w:type="dxa" w:w="4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PostgreSQL 15+</w:t>
            </w:r>
          </w:p>
        </w:tc>
      </w:tr>
      <w:tr>
        <w:tc>
          <w:tcPr>
            <w:tcW w:type="dxa" w:w="2400"/>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Archivos documentados</w:t>
            </w:r>
          </w:p>
        </w:tc>
        <w:tc>
          <w:tcPr>
            <w:tcW w:type="dxa" w:w="48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color w:val="1A1A1A"/>
                <w:sz w:val="20"/>
                <w:szCs w:val="20"/>
              </w:rPr>
              <w:t xml:space="preserve">00_drop_functions.sql  ·  02_functions.sql  ·  03_seed_data.sql  ·  05_pagos.sql  ·  06_imagenes.sql  ·  07_contacto.sql</w:t>
            </w:r>
          </w:p>
        </w:tc>
      </w:tr>
      <w:tr>
        <w:tc>
          <w:tcPr>
            <w:tcW w:type="dxa" w:w="2400"/>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Versión</w:t>
            </w:r>
          </w:p>
        </w:tc>
        <w:tc>
          <w:tcPr>
            <w:tcW w:type="dxa" w:w="4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w:t>
            </w:r>
          </w:p>
        </w:tc>
      </w:tr>
      <w:tr>
        <w:tc>
          <w:tcPr>
            <w:tcW w:type="dxa" w:w="2400"/>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Fecha</w:t>
            </w:r>
          </w:p>
        </w:tc>
        <w:tc>
          <w:tcPr>
            <w:tcW w:type="dxa" w:w="48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color w:val="1A1A1A"/>
                <w:sz w:val="20"/>
                <w:szCs w:val="20"/>
              </w:rPr>
              <w:t xml:space="preserve">Junio 2025</w:t>
            </w:r>
          </w:p>
        </w:tc>
      </w:tr>
      <w:tr>
        <w:tc>
          <w:tcPr>
            <w:tcW w:type="dxa" w:w="2400"/>
            <w:tcBorders>
              <w:top w:val="single" w:color="C0C8D8" w:sz="1"/>
              <w:left w:val="single" w:color="C0C8D8" w:sz="1"/>
              <w:bottom w:val="single" w:color="C0C8D8" w:sz="1"/>
              <w:right w:val="single" w:color="C0C8D8"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Elaborado por</w:t>
            </w:r>
          </w:p>
        </w:tc>
        <w:tc>
          <w:tcPr>
            <w:tcW w:type="dxa" w:w="4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Equipo de desarrollo MBS</w:t>
            </w:r>
          </w:p>
        </w:tc>
      </w:tr>
    </w:tbl>
    <w:p>
      <w:r>
        <w:t xml:space="preserve"/>
      </w:r>
    </w:p>
    <w:p>
      <w:r>
        <w:t xml:space="preserve"/>
      </w:r>
    </w:p>
    <w:p>
      <w:r>
        <w:t xml:space="preserve"/>
      </w:r>
    </w:p>
    <w:p>
      <w:r>
        <w:t xml:space="preserve"/>
      </w:r>
    </w:p>
    <w:p>
      <w:r>
        <w:t xml:space="preserve"/>
      </w:r>
    </w:p>
    <w:p>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2E5FA3" w:val="clear"/>
            <w:tcMar>
              <w:top w:type="dxa" w:w="400"/>
              <w:left w:type="dxa" w:w="1440"/>
              <w:bottom w:type="dxa" w:w="400"/>
              <w:right w:type="dxa" w:w="1440"/>
            </w:tcMar>
          </w:tcPr>
          <w:p>
            <w:pPr>
              <w:jc w:val="center"/>
            </w:pPr>
            <w:r>
              <w:rPr>
                <w:rFonts w:ascii="Arial" w:cs="Arial" w:eastAsia="Arial" w:hAnsi="Arial"/>
                <w:color w:val="FFFFFF"/>
                <w:sz w:val="18"/>
                <w:szCs w:val="18"/>
              </w:rPr>
              <w:t xml:space="preserve">Confidencial — Uso interno</w:t>
            </w:r>
          </w:p>
        </w:tc>
      </w:tr>
    </w:tbl>
    <w:p>
      <w:pPr>
        <w:sectPr>
          <w:pgSz w:w="12240" w:h="15840" w:orient="portrait"/>
          <w:pgMar w:top="0" w:right="0" w:bottom="0" w:left="0" w:header="708" w:footer="708" w:gutter="0"/>
          <w:pgNumType/>
          <w:docGrid w:linePitch="360"/>
        </w:sectPr>
      </w:pPr>
    </w:p>
    <w:p>
      <w:pPr>
        <w:pStyle w:val="Heading1"/>
      </w:pPr>
      <w:r>
        <w:rPr>
          <w:rFonts w:ascii="Arial" w:cs="Arial" w:eastAsia="Arial" w:hAnsi="Arial"/>
          <w:b/>
          <w:bCs/>
          <w:color w:val="1B3A6B"/>
          <w:sz w:val="32"/>
          <w:szCs w:val="32"/>
        </w:rPr>
        <w:t xml:space="preserve">Índice de Contenido</w:t>
      </w:r>
    </w:p>
    <w:p>
      <w:pPr>
        <w:pBdr>
          <w:bottom w:val="single" w:color="2E5FA3" w:sz="4" w:space="1"/>
        </w:pBdr>
      </w:pPr>
      <w:r>
        <w:t xml:space="preserve"/>
      </w:r>
    </w:p>
    <w:p>
      <w:r>
        <w:t xml:space="preserve"/>
      </w:r>
    </w:p>
    <w:p>
      <w:pPr>
        <w:tabs>
          <w:tab w:val="right" w:pos="9026"/>
        </w:tabs>
        <w:spacing w:after="60" w:before="120"/>
      </w:pPr>
      <w:r>
        <w:rPr>
          <w:rFonts w:ascii="Arial" w:cs="Arial" w:eastAsia="Arial" w:hAnsi="Arial"/>
          <w:b/>
          <w:bCs/>
          <w:color w:val="1B3A6B"/>
          <w:sz w:val="20"/>
          <w:szCs w:val="20"/>
        </w:rPr>
        <w:t xml:space="preserve">1.  Introducción</w:t>
      </w:r>
      <w:r>
        <w:rPr>
          <w:rFonts w:ascii="Arial" w:cs="Arial" w:eastAsia="Arial" w:hAnsi="Arial"/>
          <w:color w:val="888888"/>
          <w:sz w:val="20"/>
          <w:szCs w:val="20"/>
        </w:rPr>
        <w:t xml:space="preserve">	3</w:t>
      </w:r>
    </w:p>
    <w:p>
      <w:pPr>
        <w:tabs>
          <w:tab w:val="right" w:pos="9026"/>
        </w:tabs>
        <w:spacing w:after="30" w:before="60"/>
      </w:pPr>
      <w:r>
        <w:rPr>
          <w:rFonts w:ascii="Arial" w:cs="Arial" w:eastAsia="Arial" w:hAnsi="Arial"/>
          <w:b w:val="false"/>
          <w:bCs w:val="false"/>
          <w:color w:val="1A1A1A"/>
          <w:sz w:val="20"/>
          <w:szCs w:val="20"/>
        </w:rPr>
        <w:t xml:space="preserve">1.1  Propósito del documento</w:t>
      </w:r>
      <w:r>
        <w:rPr>
          <w:rFonts w:ascii="Arial" w:cs="Arial" w:eastAsia="Arial" w:hAnsi="Arial"/>
          <w:color w:val="888888"/>
          <w:sz w:val="20"/>
          <w:szCs w:val="20"/>
        </w:rPr>
        <w:t xml:space="preserve">	3</w:t>
      </w:r>
    </w:p>
    <w:p>
      <w:pPr>
        <w:tabs>
          <w:tab w:val="right" w:pos="9026"/>
        </w:tabs>
        <w:spacing w:after="30" w:before="60"/>
      </w:pPr>
      <w:r>
        <w:rPr>
          <w:rFonts w:ascii="Arial" w:cs="Arial" w:eastAsia="Arial" w:hAnsi="Arial"/>
          <w:b w:val="false"/>
          <w:bCs w:val="false"/>
          <w:color w:val="1A1A1A"/>
          <w:sz w:val="20"/>
          <w:szCs w:val="20"/>
        </w:rPr>
        <w:t xml:space="preserve">1.2  Alcance del sistema</w:t>
      </w:r>
      <w:r>
        <w:rPr>
          <w:rFonts w:ascii="Arial" w:cs="Arial" w:eastAsia="Arial" w:hAnsi="Arial"/>
          <w:color w:val="888888"/>
          <w:sz w:val="20"/>
          <w:szCs w:val="20"/>
        </w:rPr>
        <w:t xml:space="preserve">	3</w:t>
      </w:r>
    </w:p>
    <w:p>
      <w:pPr>
        <w:tabs>
          <w:tab w:val="right" w:pos="9026"/>
        </w:tabs>
        <w:spacing w:after="30" w:before="60"/>
      </w:pPr>
      <w:r>
        <w:rPr>
          <w:rFonts w:ascii="Arial" w:cs="Arial" w:eastAsia="Arial" w:hAnsi="Arial"/>
          <w:b w:val="false"/>
          <w:bCs w:val="false"/>
          <w:color w:val="1A1A1A"/>
          <w:sz w:val="20"/>
          <w:szCs w:val="20"/>
        </w:rPr>
        <w:t xml:space="preserve">1.3  Tecnologías utilizadas</w:t>
      </w:r>
      <w:r>
        <w:rPr>
          <w:rFonts w:ascii="Arial" w:cs="Arial" w:eastAsia="Arial" w:hAnsi="Arial"/>
          <w:color w:val="888888"/>
          <w:sz w:val="20"/>
          <w:szCs w:val="20"/>
        </w:rPr>
        <w:t xml:space="preserve">	3</w:t>
      </w:r>
    </w:p>
    <w:p>
      <w:pPr>
        <w:tabs>
          <w:tab w:val="right" w:pos="9026"/>
        </w:tabs>
        <w:spacing w:after="60" w:before="120"/>
      </w:pPr>
      <w:r>
        <w:rPr>
          <w:rFonts w:ascii="Arial" w:cs="Arial" w:eastAsia="Arial" w:hAnsi="Arial"/>
          <w:b/>
          <w:bCs/>
          <w:color w:val="1B3A6B"/>
          <w:sz w:val="20"/>
          <w:szCs w:val="20"/>
        </w:rPr>
        <w:t xml:space="preserve">2.  Desarrollo</w:t>
      </w:r>
      <w:r>
        <w:rPr>
          <w:rFonts w:ascii="Arial" w:cs="Arial" w:eastAsia="Arial" w:hAnsi="Arial"/>
          <w:color w:val="888888"/>
          <w:sz w:val="20"/>
          <w:szCs w:val="20"/>
        </w:rPr>
        <w:t xml:space="preserve">	4</w:t>
      </w:r>
    </w:p>
    <w:p>
      <w:pPr>
        <w:tabs>
          <w:tab w:val="right" w:pos="9026"/>
        </w:tabs>
        <w:spacing w:after="30" w:before="60"/>
      </w:pPr>
      <w:r>
        <w:rPr>
          <w:rFonts w:ascii="Arial" w:cs="Arial" w:eastAsia="Arial" w:hAnsi="Arial"/>
          <w:b w:val="false"/>
          <w:bCs w:val="false"/>
          <w:color w:val="1A1A1A"/>
          <w:sz w:val="20"/>
          <w:szCs w:val="20"/>
        </w:rPr>
        <w:t xml:space="preserve">2.1  Archivo 00 — Drop Functions</w:t>
      </w:r>
      <w:r>
        <w:rPr>
          <w:rFonts w:ascii="Arial" w:cs="Arial" w:eastAsia="Arial" w:hAnsi="Arial"/>
          <w:color w:val="888888"/>
          <w:sz w:val="20"/>
          <w:szCs w:val="20"/>
        </w:rPr>
        <w:t xml:space="preserve">	4</w:t>
      </w:r>
    </w:p>
    <w:p>
      <w:pPr>
        <w:tabs>
          <w:tab w:val="right" w:pos="9026"/>
        </w:tabs>
        <w:spacing w:after="30" w:before="60"/>
      </w:pPr>
      <w:r>
        <w:rPr>
          <w:rFonts w:ascii="Arial" w:cs="Arial" w:eastAsia="Arial" w:hAnsi="Arial"/>
          <w:b w:val="false"/>
          <w:bCs w:val="false"/>
          <w:color w:val="1A1A1A"/>
          <w:sz w:val="20"/>
          <w:szCs w:val="20"/>
        </w:rPr>
        <w:t xml:space="preserve">2.2  Archivo 02 — Funciones y Procedimientos (02_functions.sql)</w:t>
      </w:r>
      <w:r>
        <w:rPr>
          <w:rFonts w:ascii="Arial" w:cs="Arial" w:eastAsia="Arial" w:hAnsi="Arial"/>
          <w:color w:val="888888"/>
          <w:sz w:val="20"/>
          <w:szCs w:val="20"/>
        </w:rPr>
        <w:t xml:space="preserve">	5</w:t>
      </w:r>
    </w:p>
    <w:p>
      <w:pPr>
        <w:tabs>
          <w:tab w:val="right" w:pos="9026"/>
        </w:tabs>
        <w:spacing w:after="30" w:before="60"/>
      </w:pPr>
      <w:r>
        <w:rPr>
          <w:rFonts w:ascii="Arial" w:cs="Arial" w:eastAsia="Arial" w:hAnsi="Arial"/>
          <w:b w:val="false"/>
          <w:bCs w:val="false"/>
          <w:color w:val="1A1A1A"/>
          <w:sz w:val="20"/>
          <w:szCs w:val="20"/>
        </w:rPr>
        <w:t xml:space="preserve">2.2.1  Módulo: Utilidades internas</w:t>
      </w:r>
      <w:r>
        <w:rPr>
          <w:rFonts w:ascii="Arial" w:cs="Arial" w:eastAsia="Arial" w:hAnsi="Arial"/>
          <w:color w:val="888888"/>
          <w:sz w:val="20"/>
          <w:szCs w:val="20"/>
        </w:rPr>
        <w:t xml:space="preserve">	5</w:t>
      </w:r>
    </w:p>
    <w:p>
      <w:pPr>
        <w:tabs>
          <w:tab w:val="right" w:pos="9026"/>
        </w:tabs>
        <w:spacing w:after="30" w:before="60"/>
      </w:pPr>
      <w:r>
        <w:rPr>
          <w:rFonts w:ascii="Arial" w:cs="Arial" w:eastAsia="Arial" w:hAnsi="Arial"/>
          <w:b w:val="false"/>
          <w:bCs w:val="false"/>
          <w:color w:val="1A1A1A"/>
          <w:sz w:val="20"/>
          <w:szCs w:val="20"/>
        </w:rPr>
        <w:t xml:space="preserve">2.2.2  Módulo: Usuarios</w:t>
      </w:r>
      <w:r>
        <w:rPr>
          <w:rFonts w:ascii="Arial" w:cs="Arial" w:eastAsia="Arial" w:hAnsi="Arial"/>
          <w:color w:val="888888"/>
          <w:sz w:val="20"/>
          <w:szCs w:val="20"/>
        </w:rPr>
        <w:t xml:space="preserve">	6</w:t>
      </w:r>
    </w:p>
    <w:p>
      <w:pPr>
        <w:tabs>
          <w:tab w:val="right" w:pos="9026"/>
        </w:tabs>
        <w:spacing w:after="30" w:before="60"/>
      </w:pPr>
      <w:r>
        <w:rPr>
          <w:rFonts w:ascii="Arial" w:cs="Arial" w:eastAsia="Arial" w:hAnsi="Arial"/>
          <w:b w:val="false"/>
          <w:bCs w:val="false"/>
          <w:color w:val="1A1A1A"/>
          <w:sz w:val="20"/>
          <w:szCs w:val="20"/>
        </w:rPr>
        <w:t xml:space="preserve">2.2.3  Módulo: Catálogo de productos</w:t>
      </w:r>
      <w:r>
        <w:rPr>
          <w:rFonts w:ascii="Arial" w:cs="Arial" w:eastAsia="Arial" w:hAnsi="Arial"/>
          <w:color w:val="888888"/>
          <w:sz w:val="20"/>
          <w:szCs w:val="20"/>
        </w:rPr>
        <w:t xml:space="preserve">	7</w:t>
      </w:r>
    </w:p>
    <w:p>
      <w:pPr>
        <w:tabs>
          <w:tab w:val="right" w:pos="9026"/>
        </w:tabs>
        <w:spacing w:after="30" w:before="60"/>
      </w:pPr>
      <w:r>
        <w:rPr>
          <w:rFonts w:ascii="Arial" w:cs="Arial" w:eastAsia="Arial" w:hAnsi="Arial"/>
          <w:b w:val="false"/>
          <w:bCs w:val="false"/>
          <w:color w:val="1A1A1A"/>
          <w:sz w:val="20"/>
          <w:szCs w:val="20"/>
        </w:rPr>
        <w:t xml:space="preserve">2.2.4  Módulo: Carrito de compras</w:t>
      </w:r>
      <w:r>
        <w:rPr>
          <w:rFonts w:ascii="Arial" w:cs="Arial" w:eastAsia="Arial" w:hAnsi="Arial"/>
          <w:color w:val="888888"/>
          <w:sz w:val="20"/>
          <w:szCs w:val="20"/>
        </w:rPr>
        <w:t xml:space="preserve">	8</w:t>
      </w:r>
    </w:p>
    <w:p>
      <w:pPr>
        <w:tabs>
          <w:tab w:val="right" w:pos="9026"/>
        </w:tabs>
        <w:spacing w:after="30" w:before="60"/>
      </w:pPr>
      <w:r>
        <w:rPr>
          <w:rFonts w:ascii="Arial" w:cs="Arial" w:eastAsia="Arial" w:hAnsi="Arial"/>
          <w:b w:val="false"/>
          <w:bCs w:val="false"/>
          <w:color w:val="1A1A1A"/>
          <w:sz w:val="20"/>
          <w:szCs w:val="20"/>
        </w:rPr>
        <w:t xml:space="preserve">2.2.5  Módulo: Pedidos</w:t>
      </w:r>
      <w:r>
        <w:rPr>
          <w:rFonts w:ascii="Arial" w:cs="Arial" w:eastAsia="Arial" w:hAnsi="Arial"/>
          <w:color w:val="888888"/>
          <w:sz w:val="20"/>
          <w:szCs w:val="20"/>
        </w:rPr>
        <w:t xml:space="preserve">	9</w:t>
      </w:r>
    </w:p>
    <w:p>
      <w:pPr>
        <w:tabs>
          <w:tab w:val="right" w:pos="9026"/>
        </w:tabs>
        <w:spacing w:after="30" w:before="60"/>
      </w:pPr>
      <w:r>
        <w:rPr>
          <w:rFonts w:ascii="Arial" w:cs="Arial" w:eastAsia="Arial" w:hAnsi="Arial"/>
          <w:b w:val="false"/>
          <w:bCs w:val="false"/>
          <w:color w:val="1A1A1A"/>
          <w:sz w:val="20"/>
          <w:szCs w:val="20"/>
        </w:rPr>
        <w:t xml:space="preserve">2.2.6  Módulo: Inventario</w:t>
      </w:r>
      <w:r>
        <w:rPr>
          <w:rFonts w:ascii="Arial" w:cs="Arial" w:eastAsia="Arial" w:hAnsi="Arial"/>
          <w:color w:val="888888"/>
          <w:sz w:val="20"/>
          <w:szCs w:val="20"/>
        </w:rPr>
        <w:t xml:space="preserve">	10</w:t>
      </w:r>
    </w:p>
    <w:p>
      <w:pPr>
        <w:tabs>
          <w:tab w:val="right" w:pos="9026"/>
        </w:tabs>
        <w:spacing w:after="30" w:before="60"/>
      </w:pPr>
      <w:r>
        <w:rPr>
          <w:rFonts w:ascii="Arial" w:cs="Arial" w:eastAsia="Arial" w:hAnsi="Arial"/>
          <w:b w:val="false"/>
          <w:bCs w:val="false"/>
          <w:color w:val="1A1A1A"/>
          <w:sz w:val="20"/>
          <w:szCs w:val="20"/>
        </w:rPr>
        <w:t xml:space="preserve">2.2.7  Módulo: Dashboard</w:t>
      </w:r>
      <w:r>
        <w:rPr>
          <w:rFonts w:ascii="Arial" w:cs="Arial" w:eastAsia="Arial" w:hAnsi="Arial"/>
          <w:color w:val="888888"/>
          <w:sz w:val="20"/>
          <w:szCs w:val="20"/>
        </w:rPr>
        <w:t xml:space="preserve">	10</w:t>
      </w:r>
    </w:p>
    <w:p>
      <w:pPr>
        <w:tabs>
          <w:tab w:val="right" w:pos="9026"/>
        </w:tabs>
        <w:spacing w:after="30" w:before="60"/>
      </w:pPr>
      <w:r>
        <w:rPr>
          <w:rFonts w:ascii="Arial" w:cs="Arial" w:eastAsia="Arial" w:hAnsi="Arial"/>
          <w:b w:val="false"/>
          <w:bCs w:val="false"/>
          <w:color w:val="1A1A1A"/>
          <w:sz w:val="20"/>
          <w:szCs w:val="20"/>
        </w:rPr>
        <w:t xml:space="preserve">2.2.8  Módulo: Configuración y Favoritos</w:t>
      </w:r>
      <w:r>
        <w:rPr>
          <w:rFonts w:ascii="Arial" w:cs="Arial" w:eastAsia="Arial" w:hAnsi="Arial"/>
          <w:color w:val="888888"/>
          <w:sz w:val="20"/>
          <w:szCs w:val="20"/>
        </w:rPr>
        <w:t xml:space="preserve">	11</w:t>
      </w:r>
    </w:p>
    <w:p>
      <w:pPr>
        <w:tabs>
          <w:tab w:val="right" w:pos="9026"/>
        </w:tabs>
        <w:spacing w:after="30" w:before="60"/>
      </w:pPr>
      <w:r>
        <w:rPr>
          <w:rFonts w:ascii="Arial" w:cs="Arial" w:eastAsia="Arial" w:hAnsi="Arial"/>
          <w:b w:val="false"/>
          <w:bCs w:val="false"/>
          <w:color w:val="1A1A1A"/>
          <w:sz w:val="20"/>
          <w:szCs w:val="20"/>
        </w:rPr>
        <w:t xml:space="preserve">2.3  Archivo 03 — Datos Iniciales (03_seed_data.sql)</w:t>
      </w:r>
      <w:r>
        <w:rPr>
          <w:rFonts w:ascii="Arial" w:cs="Arial" w:eastAsia="Arial" w:hAnsi="Arial"/>
          <w:color w:val="888888"/>
          <w:sz w:val="20"/>
          <w:szCs w:val="20"/>
        </w:rPr>
        <w:t xml:space="preserve">	12</w:t>
      </w:r>
    </w:p>
    <w:p>
      <w:pPr>
        <w:tabs>
          <w:tab w:val="right" w:pos="9026"/>
        </w:tabs>
        <w:spacing w:after="30" w:before="60"/>
      </w:pPr>
      <w:r>
        <w:rPr>
          <w:rFonts w:ascii="Arial" w:cs="Arial" w:eastAsia="Arial" w:hAnsi="Arial"/>
          <w:b w:val="false"/>
          <w:bCs w:val="false"/>
          <w:color w:val="1A1A1A"/>
          <w:sz w:val="20"/>
          <w:szCs w:val="20"/>
        </w:rPr>
        <w:t xml:space="preserve">2.3.1  Configuración del sitio</w:t>
      </w:r>
      <w:r>
        <w:rPr>
          <w:rFonts w:ascii="Arial" w:cs="Arial" w:eastAsia="Arial" w:hAnsi="Arial"/>
          <w:color w:val="888888"/>
          <w:sz w:val="20"/>
          <w:szCs w:val="20"/>
        </w:rPr>
        <w:t xml:space="preserve">	12</w:t>
      </w:r>
    </w:p>
    <w:p>
      <w:pPr>
        <w:tabs>
          <w:tab w:val="right" w:pos="9026"/>
        </w:tabs>
        <w:spacing w:after="30" w:before="60"/>
      </w:pPr>
      <w:r>
        <w:rPr>
          <w:rFonts w:ascii="Arial" w:cs="Arial" w:eastAsia="Arial" w:hAnsi="Arial"/>
          <w:b w:val="false"/>
          <w:bCs w:val="false"/>
          <w:color w:val="1A1A1A"/>
          <w:sz w:val="20"/>
          <w:szCs w:val="20"/>
        </w:rPr>
        <w:t xml:space="preserve">2.3.2  Catálogo: Marcas y categorías</w:t>
      </w:r>
      <w:r>
        <w:rPr>
          <w:rFonts w:ascii="Arial" w:cs="Arial" w:eastAsia="Arial" w:hAnsi="Arial"/>
          <w:color w:val="888888"/>
          <w:sz w:val="20"/>
          <w:szCs w:val="20"/>
        </w:rPr>
        <w:t xml:space="preserve">	13</w:t>
      </w:r>
    </w:p>
    <w:p>
      <w:pPr>
        <w:tabs>
          <w:tab w:val="right" w:pos="9026"/>
        </w:tabs>
        <w:spacing w:after="30" w:before="60"/>
      </w:pPr>
      <w:r>
        <w:rPr>
          <w:rFonts w:ascii="Arial" w:cs="Arial" w:eastAsia="Arial" w:hAnsi="Arial"/>
          <w:b w:val="false"/>
          <w:bCs w:val="false"/>
          <w:color w:val="1A1A1A"/>
          <w:sz w:val="20"/>
          <w:szCs w:val="20"/>
        </w:rPr>
        <w:t xml:space="preserve">2.3.3  Métodos de envío y pago</w:t>
      </w:r>
      <w:r>
        <w:rPr>
          <w:rFonts w:ascii="Arial" w:cs="Arial" w:eastAsia="Arial" w:hAnsi="Arial"/>
          <w:color w:val="888888"/>
          <w:sz w:val="20"/>
          <w:szCs w:val="20"/>
        </w:rPr>
        <w:t xml:space="preserve">	13</w:t>
      </w:r>
    </w:p>
    <w:p>
      <w:pPr>
        <w:tabs>
          <w:tab w:val="right" w:pos="9026"/>
        </w:tabs>
        <w:spacing w:after="30" w:before="60"/>
      </w:pPr>
      <w:r>
        <w:rPr>
          <w:rFonts w:ascii="Arial" w:cs="Arial" w:eastAsia="Arial" w:hAnsi="Arial"/>
          <w:b w:val="false"/>
          <w:bCs w:val="false"/>
          <w:color w:val="1A1A1A"/>
          <w:sz w:val="20"/>
          <w:szCs w:val="20"/>
        </w:rPr>
        <w:t xml:space="preserve">2.3.4  Productos iniciales</w:t>
      </w:r>
      <w:r>
        <w:rPr>
          <w:rFonts w:ascii="Arial" w:cs="Arial" w:eastAsia="Arial" w:hAnsi="Arial"/>
          <w:color w:val="888888"/>
          <w:sz w:val="20"/>
          <w:szCs w:val="20"/>
        </w:rPr>
        <w:t xml:space="preserve">	14</w:t>
      </w:r>
    </w:p>
    <w:p>
      <w:pPr>
        <w:tabs>
          <w:tab w:val="right" w:pos="9026"/>
        </w:tabs>
        <w:spacing w:after="30" w:before="60"/>
      </w:pPr>
      <w:r>
        <w:rPr>
          <w:rFonts w:ascii="Arial" w:cs="Arial" w:eastAsia="Arial" w:hAnsi="Arial"/>
          <w:b w:val="false"/>
          <w:bCs w:val="false"/>
          <w:color w:val="1A1A1A"/>
          <w:sz w:val="20"/>
          <w:szCs w:val="20"/>
        </w:rPr>
        <w:t xml:space="preserve">2.3.5  Usuarios y direcciones demo</w:t>
      </w:r>
      <w:r>
        <w:rPr>
          <w:rFonts w:ascii="Arial" w:cs="Arial" w:eastAsia="Arial" w:hAnsi="Arial"/>
          <w:color w:val="888888"/>
          <w:sz w:val="20"/>
          <w:szCs w:val="20"/>
        </w:rPr>
        <w:t xml:space="preserve">	14</w:t>
      </w:r>
    </w:p>
    <w:p>
      <w:pPr>
        <w:tabs>
          <w:tab w:val="right" w:pos="9026"/>
        </w:tabs>
        <w:spacing w:after="30" w:before="60"/>
      </w:pPr>
      <w:r>
        <w:rPr>
          <w:rFonts w:ascii="Arial" w:cs="Arial" w:eastAsia="Arial" w:hAnsi="Arial"/>
          <w:b w:val="false"/>
          <w:bCs w:val="false"/>
          <w:color w:val="1A1A1A"/>
          <w:sz w:val="20"/>
          <w:szCs w:val="20"/>
        </w:rPr>
        <w:t xml:space="preserve">2.4  Archivo 05 — Módulo de Pagos (05_pagos.sql)</w:t>
      </w:r>
      <w:r>
        <w:rPr>
          <w:rFonts w:ascii="Arial" w:cs="Arial" w:eastAsia="Arial" w:hAnsi="Arial"/>
          <w:color w:val="888888"/>
          <w:sz w:val="20"/>
          <w:szCs w:val="20"/>
        </w:rPr>
        <w:t xml:space="preserve">	15</w:t>
      </w:r>
    </w:p>
    <w:p>
      <w:pPr>
        <w:tabs>
          <w:tab w:val="right" w:pos="9026"/>
        </w:tabs>
        <w:spacing w:after="30" w:before="60"/>
      </w:pPr>
      <w:r>
        <w:rPr>
          <w:rFonts w:ascii="Arial" w:cs="Arial" w:eastAsia="Arial" w:hAnsi="Arial"/>
          <w:b w:val="false"/>
          <w:bCs w:val="false"/>
          <w:color w:val="1A1A1A"/>
          <w:sz w:val="20"/>
          <w:szCs w:val="20"/>
        </w:rPr>
        <w:t xml:space="preserve">2.4.1  Extensión de tabla pedidos</w:t>
      </w:r>
      <w:r>
        <w:rPr>
          <w:rFonts w:ascii="Arial" w:cs="Arial" w:eastAsia="Arial" w:hAnsi="Arial"/>
          <w:color w:val="888888"/>
          <w:sz w:val="20"/>
          <w:szCs w:val="20"/>
        </w:rPr>
        <w:t xml:space="preserve">	15</w:t>
      </w:r>
    </w:p>
    <w:p>
      <w:pPr>
        <w:tabs>
          <w:tab w:val="right" w:pos="9026"/>
        </w:tabs>
        <w:spacing w:after="30" w:before="60"/>
      </w:pPr>
      <w:r>
        <w:rPr>
          <w:rFonts w:ascii="Arial" w:cs="Arial" w:eastAsia="Arial" w:hAnsi="Arial"/>
          <w:b w:val="false"/>
          <w:bCs w:val="false"/>
          <w:color w:val="1A1A1A"/>
          <w:sz w:val="20"/>
          <w:szCs w:val="20"/>
        </w:rPr>
        <w:t xml:space="preserve">2.4.2  Tabla pago_referencias (SPEI)</w:t>
      </w:r>
      <w:r>
        <w:rPr>
          <w:rFonts w:ascii="Arial" w:cs="Arial" w:eastAsia="Arial" w:hAnsi="Arial"/>
          <w:color w:val="888888"/>
          <w:sz w:val="20"/>
          <w:szCs w:val="20"/>
        </w:rPr>
        <w:t xml:space="preserve">	15</w:t>
      </w:r>
    </w:p>
    <w:p>
      <w:pPr>
        <w:tabs>
          <w:tab w:val="right" w:pos="9026"/>
        </w:tabs>
        <w:spacing w:after="30" w:before="60"/>
      </w:pPr>
      <w:r>
        <w:rPr>
          <w:rFonts w:ascii="Arial" w:cs="Arial" w:eastAsia="Arial" w:hAnsi="Arial"/>
          <w:b w:val="false"/>
          <w:bCs w:val="false"/>
          <w:color w:val="1A1A1A"/>
          <w:sz w:val="20"/>
          <w:szCs w:val="20"/>
        </w:rPr>
        <w:t xml:space="preserve">2.4.3  Tabla pago_paypal</w:t>
      </w:r>
      <w:r>
        <w:rPr>
          <w:rFonts w:ascii="Arial" w:cs="Arial" w:eastAsia="Arial" w:hAnsi="Arial"/>
          <w:color w:val="888888"/>
          <w:sz w:val="20"/>
          <w:szCs w:val="20"/>
        </w:rPr>
        <w:t xml:space="preserve">	16</w:t>
      </w:r>
    </w:p>
    <w:p>
      <w:pPr>
        <w:tabs>
          <w:tab w:val="right" w:pos="9026"/>
        </w:tabs>
        <w:spacing w:after="30" w:before="60"/>
      </w:pPr>
      <w:r>
        <w:rPr>
          <w:rFonts w:ascii="Arial" w:cs="Arial" w:eastAsia="Arial" w:hAnsi="Arial"/>
          <w:b w:val="false"/>
          <w:bCs w:val="false"/>
          <w:color w:val="1A1A1A"/>
          <w:sz w:val="20"/>
          <w:szCs w:val="20"/>
        </w:rPr>
        <w:t xml:space="preserve">2.4.4  Tabla pago_webhooks_log</w:t>
      </w:r>
      <w:r>
        <w:rPr>
          <w:rFonts w:ascii="Arial" w:cs="Arial" w:eastAsia="Arial" w:hAnsi="Arial"/>
          <w:color w:val="888888"/>
          <w:sz w:val="20"/>
          <w:szCs w:val="20"/>
        </w:rPr>
        <w:t xml:space="preserve">	16</w:t>
      </w:r>
    </w:p>
    <w:p>
      <w:pPr>
        <w:tabs>
          <w:tab w:val="right" w:pos="9026"/>
        </w:tabs>
        <w:spacing w:after="30" w:before="60"/>
      </w:pPr>
      <w:r>
        <w:rPr>
          <w:rFonts w:ascii="Arial" w:cs="Arial" w:eastAsia="Arial" w:hAnsi="Arial"/>
          <w:b w:val="false"/>
          <w:bCs w:val="false"/>
          <w:color w:val="1A1A1A"/>
          <w:sz w:val="20"/>
          <w:szCs w:val="20"/>
        </w:rPr>
        <w:t xml:space="preserve">2.4.5  Funciones del módulo de pagos</w:t>
      </w:r>
      <w:r>
        <w:rPr>
          <w:rFonts w:ascii="Arial" w:cs="Arial" w:eastAsia="Arial" w:hAnsi="Arial"/>
          <w:color w:val="888888"/>
          <w:sz w:val="20"/>
          <w:szCs w:val="20"/>
        </w:rPr>
        <w:t xml:space="preserve">	17</w:t>
      </w:r>
    </w:p>
    <w:p>
      <w:pPr>
        <w:tabs>
          <w:tab w:val="right" w:pos="9026"/>
        </w:tabs>
        <w:spacing w:after="30" w:before="60"/>
      </w:pPr>
      <w:r>
        <w:rPr>
          <w:rFonts w:ascii="Arial" w:cs="Arial" w:eastAsia="Arial" w:hAnsi="Arial"/>
          <w:b w:val="false"/>
          <w:bCs w:val="false"/>
          <w:color w:val="1A1A1A"/>
          <w:sz w:val="20"/>
          <w:szCs w:val="20"/>
        </w:rPr>
        <w:t xml:space="preserve">2.5  Archivo 06 — Gestión de Imágenes (06_imagenes.sql)</w:t>
      </w:r>
      <w:r>
        <w:rPr>
          <w:rFonts w:ascii="Arial" w:cs="Arial" w:eastAsia="Arial" w:hAnsi="Arial"/>
          <w:color w:val="888888"/>
          <w:sz w:val="20"/>
          <w:szCs w:val="20"/>
        </w:rPr>
        <w:t xml:space="preserve">	19</w:t>
      </w:r>
    </w:p>
    <w:p>
      <w:pPr>
        <w:tabs>
          <w:tab w:val="right" w:pos="9026"/>
        </w:tabs>
        <w:spacing w:after="30" w:before="60"/>
      </w:pPr>
      <w:r>
        <w:rPr>
          <w:rFonts w:ascii="Arial" w:cs="Arial" w:eastAsia="Arial" w:hAnsi="Arial"/>
          <w:b w:val="false"/>
          <w:bCs w:val="false"/>
          <w:color w:val="1A1A1A"/>
          <w:sz w:val="20"/>
          <w:szCs w:val="20"/>
        </w:rPr>
        <w:t xml:space="preserve">2.5.1  Propósito y contexto</w:t>
      </w:r>
      <w:r>
        <w:rPr>
          <w:rFonts w:ascii="Arial" w:cs="Arial" w:eastAsia="Arial" w:hAnsi="Arial"/>
          <w:color w:val="888888"/>
          <w:sz w:val="20"/>
          <w:szCs w:val="20"/>
        </w:rPr>
        <w:t xml:space="preserve">	19</w:t>
      </w:r>
    </w:p>
    <w:p>
      <w:pPr>
        <w:tabs>
          <w:tab w:val="right" w:pos="9026"/>
        </w:tabs>
        <w:spacing w:after="30" w:before="60"/>
      </w:pPr>
      <w:r>
        <w:rPr>
          <w:rFonts w:ascii="Arial" w:cs="Arial" w:eastAsia="Arial" w:hAnsi="Arial"/>
          <w:b w:val="false"/>
          <w:bCs w:val="false"/>
          <w:color w:val="1A1A1A"/>
          <w:sz w:val="20"/>
          <w:szCs w:val="20"/>
        </w:rPr>
        <w:t xml:space="preserve">2.5.2  Índices sobre producto_imagenes</w:t>
      </w:r>
      <w:r>
        <w:rPr>
          <w:rFonts w:ascii="Arial" w:cs="Arial" w:eastAsia="Arial" w:hAnsi="Arial"/>
          <w:color w:val="888888"/>
          <w:sz w:val="20"/>
          <w:szCs w:val="20"/>
        </w:rPr>
        <w:t xml:space="preserve">	19</w:t>
      </w:r>
    </w:p>
    <w:p>
      <w:pPr>
        <w:tabs>
          <w:tab w:val="right" w:pos="9026"/>
        </w:tabs>
        <w:spacing w:after="30" w:before="60"/>
      </w:pPr>
      <w:r>
        <w:rPr>
          <w:rFonts w:ascii="Arial" w:cs="Arial" w:eastAsia="Arial" w:hAnsi="Arial"/>
          <w:b w:val="false"/>
          <w:bCs w:val="false"/>
          <w:color w:val="1A1A1A"/>
          <w:sz w:val="20"/>
          <w:szCs w:val="20"/>
        </w:rPr>
        <w:t xml:space="preserve">2.6  Archivo 07 — Contacto y Seguridad (07_contacto.sql)</w:t>
      </w:r>
      <w:r>
        <w:rPr>
          <w:rFonts w:ascii="Arial" w:cs="Arial" w:eastAsia="Arial" w:hAnsi="Arial"/>
          <w:color w:val="888888"/>
          <w:sz w:val="20"/>
          <w:szCs w:val="20"/>
        </w:rPr>
        <w:t xml:space="preserve">	20</w:t>
      </w:r>
    </w:p>
    <w:p>
      <w:pPr>
        <w:tabs>
          <w:tab w:val="right" w:pos="9026"/>
        </w:tabs>
        <w:spacing w:after="30" w:before="60"/>
      </w:pPr>
      <w:r>
        <w:rPr>
          <w:rFonts w:ascii="Arial" w:cs="Arial" w:eastAsia="Arial" w:hAnsi="Arial"/>
          <w:b w:val="false"/>
          <w:bCs w:val="false"/>
          <w:color w:val="1A1A1A"/>
          <w:sz w:val="20"/>
          <w:szCs w:val="20"/>
        </w:rPr>
        <w:t xml:space="preserve">2.6.1  Tabla mensajes_contacto</w:t>
      </w:r>
      <w:r>
        <w:rPr>
          <w:rFonts w:ascii="Arial" w:cs="Arial" w:eastAsia="Arial" w:hAnsi="Arial"/>
          <w:color w:val="888888"/>
          <w:sz w:val="20"/>
          <w:szCs w:val="20"/>
        </w:rPr>
        <w:t xml:space="preserve">	20</w:t>
      </w:r>
    </w:p>
    <w:p>
      <w:pPr>
        <w:tabs>
          <w:tab w:val="right" w:pos="9026"/>
        </w:tabs>
        <w:spacing w:after="30" w:before="60"/>
      </w:pPr>
      <w:r>
        <w:rPr>
          <w:rFonts w:ascii="Arial" w:cs="Arial" w:eastAsia="Arial" w:hAnsi="Arial"/>
          <w:b w:val="false"/>
          <w:bCs w:val="false"/>
          <w:color w:val="1A1A1A"/>
          <w:sz w:val="20"/>
          <w:szCs w:val="20"/>
        </w:rPr>
        <w:t xml:space="preserve">2.6.2  Tabla password_resets</w:t>
      </w:r>
      <w:r>
        <w:rPr>
          <w:rFonts w:ascii="Arial" w:cs="Arial" w:eastAsia="Arial" w:hAnsi="Arial"/>
          <w:color w:val="888888"/>
          <w:sz w:val="20"/>
          <w:szCs w:val="20"/>
        </w:rPr>
        <w:t xml:space="preserve">	21</w:t>
      </w:r>
    </w:p>
    <w:p>
      <w:pPr>
        <w:tabs>
          <w:tab w:val="right" w:pos="9026"/>
        </w:tabs>
        <w:spacing w:after="60" w:before="120"/>
      </w:pPr>
      <w:r>
        <w:rPr>
          <w:rFonts w:ascii="Arial" w:cs="Arial" w:eastAsia="Arial" w:hAnsi="Arial"/>
          <w:b/>
          <w:bCs/>
          <w:color w:val="1B3A6B"/>
          <w:sz w:val="20"/>
          <w:szCs w:val="20"/>
        </w:rPr>
        <w:t xml:space="preserve">3.  Conclusiones</w:t>
      </w:r>
      <w:r>
        <w:rPr>
          <w:rFonts w:ascii="Arial" w:cs="Arial" w:eastAsia="Arial" w:hAnsi="Arial"/>
          <w:color w:val="888888"/>
          <w:sz w:val="20"/>
          <w:szCs w:val="20"/>
        </w:rPr>
        <w:t xml:space="preserve">	22</w:t>
      </w:r>
    </w:p>
    <w:p>
      <w:r>
        <w:br w:type="page"/>
      </w:r>
    </w:p>
    <w:p>
      <w:pPr>
        <w:pStyle w:val="Heading1"/>
      </w:pPr>
      <w:r>
        <w:rPr>
          <w:rFonts w:ascii="Arial" w:cs="Arial" w:eastAsia="Arial" w:hAnsi="Arial"/>
          <w:b/>
          <w:bCs/>
          <w:color w:val="1B3A6B"/>
          <w:sz w:val="32"/>
          <w:szCs w:val="32"/>
        </w:rPr>
        <w:t xml:space="preserve">1. Introducción</w:t>
      </w:r>
    </w:p>
    <w:p>
      <w:pPr>
        <w:pBdr>
          <w:bottom w:val="single" w:color="2E5FA3" w:sz="4" w:space="1"/>
        </w:pBdr>
      </w:pPr>
      <w:r>
        <w:t xml:space="preserve"/>
      </w:r>
    </w:p>
    <w:p>
      <w:r>
        <w:t xml:space="preserve"/>
      </w:r>
    </w:p>
    <w:p>
      <w:pPr>
        <w:pStyle w:val="Heading2"/>
        <w:spacing w:after="120" w:before="240"/>
      </w:pPr>
      <w:r>
        <w:rPr>
          <w:rFonts w:ascii="Arial" w:cs="Arial" w:eastAsia="Arial" w:hAnsi="Arial"/>
          <w:b/>
          <w:bCs/>
          <w:color w:val="2E5FA3"/>
          <w:sz w:val="26"/>
          <w:szCs w:val="26"/>
        </w:rPr>
        <w:t xml:space="preserve">1.1 Propósito del documento</w:t>
      </w:r>
    </w:p>
    <w:p>
      <w:pPr>
        <w:spacing w:after="60" w:before="60"/>
        <w:jc w:val="both"/>
      </w:pPr>
      <w:r>
        <w:rPr>
          <w:rFonts w:ascii="Arial" w:cs="Arial" w:eastAsia="Arial" w:hAnsi="Arial"/>
          <w:color w:val="1A1A1A"/>
          <w:sz w:val="20"/>
          <w:szCs w:val="20"/>
        </w:rPr>
        <w:t xml:space="preserve">El presente documento constituye la documentación técnica oficial de los scripts SQL que conforman la base de datos del sistema de comercio electrónico de MBS Comunicaciones. Su finalidad es proporcionar una referencia estructurada y detallada de cada archivo, función, procedimiento almacenado, tabla e índice contenido en los scripts entregados, facilitando el mantenimiento, la escalabilidad y la comprensión del sistema por parte de los desarrolladores y administradores de base de datos.</w:t>
      </w:r>
    </w:p>
    <w:p>
      <w:pPr>
        <w:spacing w:after="60" w:before="60"/>
        <w:jc w:val="both"/>
      </w:pPr>
      <w:r>
        <w:rPr>
          <w:rFonts w:ascii="Arial" w:cs="Arial" w:eastAsia="Arial" w:hAnsi="Arial"/>
          <w:color w:val="1A1A1A"/>
          <w:sz w:val="20"/>
          <w:szCs w:val="20"/>
        </w:rPr>
        <w:t xml:space="preserve">Esta versión 2.0 incorpora la documentación de dos nuevos archivos: el archivo 06_imagenes.sql, que optimiza el acceso a imágenes de productos mediante índices especializados, y el archivo 07_contacto.sql, que agrega soporte para el formulario de contacto del sitio web y el mecanismo de recuperación de contraseñas.</w:t>
      </w:r>
    </w:p>
    <w:p>
      <w:r>
        <w:t xml:space="preserve"/>
      </w:r>
    </w:p>
    <w:p>
      <w:pPr>
        <w:pStyle w:val="Heading2"/>
        <w:spacing w:after="120" w:before="240"/>
      </w:pPr>
      <w:r>
        <w:rPr>
          <w:rFonts w:ascii="Arial" w:cs="Arial" w:eastAsia="Arial" w:hAnsi="Arial"/>
          <w:b/>
          <w:bCs/>
          <w:color w:val="2E5FA3"/>
          <w:sz w:val="26"/>
          <w:szCs w:val="26"/>
        </w:rPr>
        <w:t xml:space="preserve">1.2 Alcance del sistema</w:t>
      </w:r>
    </w:p>
    <w:p>
      <w:pPr>
        <w:spacing w:after="60" w:before="60"/>
        <w:jc w:val="both"/>
      </w:pPr>
      <w:r>
        <w:rPr>
          <w:rFonts w:ascii="Arial" w:cs="Arial" w:eastAsia="Arial" w:hAnsi="Arial"/>
          <w:color w:val="1A1A1A"/>
          <w:sz w:val="20"/>
          <w:szCs w:val="20"/>
        </w:rPr>
        <w:t xml:space="preserve">MBS Comunicaciones es una plataforma de comercio electrónico B2B orientada a la venta de insumos de fibra óptica para profesionales. El sistema contempla los siguientes módulos funcionales:</w:t>
      </w:r>
    </w:p>
    <w:p>
      <w:pPr>
        <w:pStyle w:val="ListParagraph"/>
        <w:numPr>
          <w:ilvl w:val="0"/>
          <w:numId w:val="2"/>
        </w:numPr>
        <w:spacing w:after="40" w:before="40"/>
      </w:pPr>
      <w:r>
        <w:rPr>
          <w:rFonts w:ascii="Arial" w:cs="Arial" w:eastAsia="Arial" w:hAnsi="Arial"/>
          <w:color w:val="1A1A1A"/>
          <w:sz w:val="20"/>
          <w:szCs w:val="20"/>
        </w:rPr>
        <w:t xml:space="preserve">Gestión de usuarios y clientes (registro, autenticación, perfiles, bloqueos).</w:t>
      </w:r>
    </w:p>
    <w:p>
      <w:pPr>
        <w:pStyle w:val="ListParagraph"/>
        <w:numPr>
          <w:ilvl w:val="0"/>
          <w:numId w:val="2"/>
        </w:numPr>
        <w:spacing w:after="40" w:before="40"/>
      </w:pPr>
      <w:r>
        <w:rPr>
          <w:rFonts w:ascii="Arial" w:cs="Arial" w:eastAsia="Arial" w:hAnsi="Arial"/>
          <w:color w:val="1A1A1A"/>
          <w:sz w:val="20"/>
          <w:szCs w:val="20"/>
        </w:rPr>
        <w:t xml:space="preserve">Catálogo de productos con búsqueda de texto completo (FTS), variantes y especificaciones.</w:t>
      </w:r>
    </w:p>
    <w:p>
      <w:pPr>
        <w:pStyle w:val="ListParagraph"/>
        <w:numPr>
          <w:ilvl w:val="0"/>
          <w:numId w:val="2"/>
        </w:numPr>
        <w:spacing w:after="40" w:before="40"/>
      </w:pPr>
      <w:r>
        <w:rPr>
          <w:rFonts w:ascii="Arial" w:cs="Arial" w:eastAsia="Arial" w:hAnsi="Arial"/>
          <w:color w:val="1A1A1A"/>
          <w:sz w:val="20"/>
          <w:szCs w:val="20"/>
        </w:rPr>
        <w:t xml:space="preserve">Carrito de compras con soporte para sesiones anónimas y usuarios autenticados.</w:t>
      </w:r>
    </w:p>
    <w:p>
      <w:pPr>
        <w:pStyle w:val="ListParagraph"/>
        <w:numPr>
          <w:ilvl w:val="0"/>
          <w:numId w:val="2"/>
        </w:numPr>
        <w:spacing w:after="40" w:before="40"/>
      </w:pPr>
      <w:r>
        <w:rPr>
          <w:rFonts w:ascii="Arial" w:cs="Arial" w:eastAsia="Arial" w:hAnsi="Arial"/>
          <w:color w:val="1A1A1A"/>
          <w:sz w:val="20"/>
          <w:szCs w:val="20"/>
        </w:rPr>
        <w:t xml:space="preserve">Gestión de pedidos con flujo completo: creación, historial, estados y notificaciones.</w:t>
      </w:r>
    </w:p>
    <w:p>
      <w:pPr>
        <w:pStyle w:val="ListParagraph"/>
        <w:numPr>
          <w:ilvl w:val="0"/>
          <w:numId w:val="2"/>
        </w:numPr>
        <w:spacing w:after="40" w:before="40"/>
      </w:pPr>
      <w:r>
        <w:rPr>
          <w:rFonts w:ascii="Arial" w:cs="Arial" w:eastAsia="Arial" w:hAnsi="Arial"/>
          <w:color w:val="1A1A1A"/>
          <w:sz w:val="20"/>
          <w:szCs w:val="20"/>
        </w:rPr>
        <w:t xml:space="preserve">Inventario con control de stock, movimientos y alertas de nivel bajo.</w:t>
      </w:r>
    </w:p>
    <w:p>
      <w:pPr>
        <w:pStyle w:val="ListParagraph"/>
        <w:numPr>
          <w:ilvl w:val="0"/>
          <w:numId w:val="2"/>
        </w:numPr>
        <w:spacing w:after="40" w:before="40"/>
      </w:pPr>
      <w:r>
        <w:rPr>
          <w:rFonts w:ascii="Arial" w:cs="Arial" w:eastAsia="Arial" w:hAnsi="Arial"/>
          <w:color w:val="1A1A1A"/>
          <w:sz w:val="20"/>
          <w:szCs w:val="20"/>
        </w:rPr>
        <w:t xml:space="preserve">Módulo de pagos con soporte para SPEI y PayPal, incluyendo webhooks y auditoría completa.</w:t>
      </w:r>
    </w:p>
    <w:p>
      <w:pPr>
        <w:pStyle w:val="ListParagraph"/>
        <w:numPr>
          <w:ilvl w:val="0"/>
          <w:numId w:val="2"/>
        </w:numPr>
        <w:spacing w:after="40" w:before="40"/>
      </w:pPr>
      <w:r>
        <w:rPr>
          <w:rFonts w:ascii="Arial" w:cs="Arial" w:eastAsia="Arial" w:hAnsi="Arial"/>
          <w:color w:val="1A1A1A"/>
          <w:sz w:val="20"/>
          <w:szCs w:val="20"/>
        </w:rPr>
        <w:t xml:space="preserve">Gestión de imágenes de productos con índices optimizados para consultas frecuentes.</w:t>
      </w:r>
    </w:p>
    <w:p>
      <w:pPr>
        <w:pStyle w:val="ListParagraph"/>
        <w:numPr>
          <w:ilvl w:val="0"/>
          <w:numId w:val="2"/>
        </w:numPr>
        <w:spacing w:after="40" w:before="40"/>
      </w:pPr>
      <w:r>
        <w:rPr>
          <w:rFonts w:ascii="Arial" w:cs="Arial" w:eastAsia="Arial" w:hAnsi="Arial"/>
          <w:color w:val="1A1A1A"/>
          <w:sz w:val="20"/>
          <w:szCs w:val="20"/>
        </w:rPr>
        <w:t xml:space="preserve">Formulario de contacto web y recuperación de contraseñas por token.</w:t>
      </w:r>
    </w:p>
    <w:p>
      <w:pPr>
        <w:pStyle w:val="ListParagraph"/>
        <w:numPr>
          <w:ilvl w:val="0"/>
          <w:numId w:val="2"/>
        </w:numPr>
        <w:spacing w:after="40" w:before="40"/>
      </w:pPr>
      <w:r>
        <w:rPr>
          <w:rFonts w:ascii="Arial" w:cs="Arial" w:eastAsia="Arial" w:hAnsi="Arial"/>
          <w:color w:val="1A1A1A"/>
          <w:sz w:val="20"/>
          <w:szCs w:val="20"/>
        </w:rPr>
        <w:t xml:space="preserve">Panel de administración con dashboard, gestión de clientes y configuración del sitio.</w:t>
      </w:r>
    </w:p>
    <w:p>
      <w:r>
        <w:t xml:space="preserve"/>
      </w:r>
    </w:p>
    <w:p>
      <w:pPr>
        <w:pStyle w:val="Heading2"/>
        <w:spacing w:after="120" w:before="240"/>
      </w:pPr>
      <w:r>
        <w:rPr>
          <w:rFonts w:ascii="Arial" w:cs="Arial" w:eastAsia="Arial" w:hAnsi="Arial"/>
          <w:b/>
          <w:bCs/>
          <w:color w:val="2E5FA3"/>
          <w:sz w:val="26"/>
          <w:szCs w:val="26"/>
        </w:rPr>
        <w:t xml:space="preserve">1.3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Componente</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Tecnología / Versión</w:t>
            </w:r>
          </w:p>
        </w:tc>
      </w:tr>
      <w:tr>
        <w:tc>
          <w:tcPr>
            <w:tcW w:type="dxa" w:w="468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Motor de base de datos</w:t>
            </w:r>
          </w:p>
        </w:tc>
        <w:tc>
          <w:tcPr>
            <w:tcW w:type="dxa" w:w="468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PostgreSQL 15+</w:t>
            </w:r>
          </w:p>
        </w:tc>
      </w:tr>
      <w:tr>
        <w:tc>
          <w:tcPr>
            <w:tcW w:type="dxa" w:w="468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Lenguaje de procedimientos</w:t>
            </w:r>
          </w:p>
        </w:tc>
        <w:tc>
          <w:tcPr>
            <w:tcW w:type="dxa" w:w="468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PL/pgSQL (plpgsql) y SQL puro</w:t>
            </w:r>
          </w:p>
        </w:tc>
      </w:tr>
      <w:tr>
        <w:tc>
          <w:tcPr>
            <w:tcW w:type="dxa" w:w="468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Búsqueda de texto completo</w:t>
            </w:r>
          </w:p>
        </w:tc>
        <w:tc>
          <w:tcPr>
            <w:tcW w:type="dxa" w:w="468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tsvector / tsquery nativo de PostgreSQL</w:t>
            </w:r>
          </w:p>
        </w:tc>
      </w:tr>
      <w:tr>
        <w:tc>
          <w:tcPr>
            <w:tcW w:type="dxa" w:w="468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Tipos de datos avanzados</w:t>
            </w:r>
          </w:p>
        </w:tc>
        <w:tc>
          <w:tcPr>
            <w:tcW w:type="dxa" w:w="468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JSONB, TIMESTAMPTZ, CHAR, NUMERIC(12,2)</w:t>
            </w:r>
          </w:p>
        </w:tc>
      </w:tr>
      <w:tr>
        <w:tc>
          <w:tcPr>
            <w:tcW w:type="dxa" w:w="468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Indexación</w:t>
            </w:r>
          </w:p>
        </w:tc>
        <w:tc>
          <w:tcPr>
            <w:tcW w:type="dxa" w:w="468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B-tree, índices parciales (WHERE)</w:t>
            </w:r>
          </w:p>
        </w:tc>
      </w:tr>
      <w:tr>
        <w:tc>
          <w:tcPr>
            <w:tcW w:type="dxa" w:w="468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Triggers</w:t>
            </w:r>
          </w:p>
        </w:tc>
        <w:tc>
          <w:tcPr>
            <w:tcW w:type="dxa" w:w="468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BEFORE UPDATE para campos updated_at</w:t>
            </w:r>
          </w:p>
        </w:tc>
      </w:tr>
      <w:tr>
        <w:tc>
          <w:tcPr>
            <w:tcW w:type="dxa" w:w="468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Seguridad de contraseñas</w:t>
            </w:r>
          </w:p>
        </w:tc>
        <w:tc>
          <w:tcPr>
            <w:tcW w:type="dxa" w:w="468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Hash bcrypt + tokens de recuperación (VARCHAR 64)</w:t>
            </w:r>
          </w:p>
        </w:tc>
      </w:tr>
      <w:tr>
        <w:tc>
          <w:tcPr>
            <w:tcW w:type="dxa" w:w="468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Gestión de archivos</w:t>
            </w:r>
          </w:p>
        </w:tc>
        <w:tc>
          <w:tcPr>
            <w:tcW w:type="dxa" w:w="468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Node.js + multer (uploads referenciados desde BD)</w:t>
            </w:r>
          </w:p>
        </w:tc>
      </w:tr>
    </w:tbl>
    <w:p>
      <w:r>
        <w:br w:type="page"/>
      </w:r>
    </w:p>
    <w:p>
      <w:pPr>
        <w:pStyle w:val="Heading1"/>
      </w:pPr>
      <w:r>
        <w:rPr>
          <w:rFonts w:ascii="Arial" w:cs="Arial" w:eastAsia="Arial" w:hAnsi="Arial"/>
          <w:b/>
          <w:bCs/>
          <w:color w:val="1B3A6B"/>
          <w:sz w:val="32"/>
          <w:szCs w:val="32"/>
        </w:rPr>
        <w:t xml:space="preserve">2. Desarrollo</w:t>
      </w:r>
    </w:p>
    <w:p>
      <w:pPr>
        <w:pBdr>
          <w:bottom w:val="single" w:color="2E5FA3" w:sz="4" w:space="1"/>
        </w:pBdr>
      </w:pPr>
      <w:r>
        <w:t xml:space="preserve"/>
      </w:r>
    </w:p>
    <w:p>
      <w:r>
        <w:t xml:space="preserve"/>
      </w:r>
    </w:p>
    <w:p>
      <w:pPr>
        <w:pStyle w:val="Heading2"/>
        <w:spacing w:after="120" w:before="240"/>
      </w:pPr>
      <w:r>
        <w:rPr>
          <w:rFonts w:ascii="Arial" w:cs="Arial" w:eastAsia="Arial" w:hAnsi="Arial"/>
          <w:b/>
          <w:bCs/>
          <w:color w:val="2E5FA3"/>
          <w:sz w:val="26"/>
          <w:szCs w:val="26"/>
        </w:rPr>
        <w:t xml:space="preserve">2.1 Archivo 00 — Drop Functions</w:t>
      </w:r>
    </w:p>
    <w:p>
      <w:pPr>
        <w:spacing w:after="60" w:before="60"/>
        <w:jc w:val="both"/>
      </w:pPr>
      <w:r>
        <w:rPr>
          <w:rFonts w:ascii="Arial" w:cs="Arial" w:eastAsia="Arial" w:hAnsi="Arial"/>
          <w:color w:val="1A1A1A"/>
          <w:sz w:val="20"/>
          <w:szCs w:val="20"/>
        </w:rPr>
        <w:t xml:space="preserve">El archivo 00_drop_functions.sql tiene como único propósito eliminar todas las funciones y procedimientos almacenados existentes en la base de datos antes de ejecutar el script de creación (02_functions.sql). Esto es necesario cuando las firmas de las funciones han cambiado entre versiones, ya que PostgreSQL no permite reemplazar una función si su lista de parámetros es diferente a la versión anterior.</w:t>
      </w:r>
    </w:p>
    <w:p>
      <w:pPr>
        <w:spacing w:after="60" w:before="60"/>
        <w:jc w:val="both"/>
      </w:pPr>
      <w:r>
        <w:rPr>
          <w:rFonts w:ascii="Arial" w:cs="Arial" w:eastAsia="Arial" w:hAnsi="Arial"/>
          <w:color w:val="1A1A1A"/>
          <w:sz w:val="20"/>
          <w:szCs w:val="20"/>
        </w:rPr>
        <w:t xml:space="preserve">El uso de IF EXISTS en cada sentencia DROP garantiza que el script sea idempotente: puede ejecutarse en una base de datos vacía sin producir errores. La cláusula CASCADE elimina también los objetos dependientes (vistas, triggers, etc.) que pudieran referenciar a las funciones.</w:t>
      </w:r>
    </w:p>
    <w:p>
      <w:r>
        <w:t xml:space="preserve"/>
      </w:r>
    </w:p>
    <w:p>
      <w:pPr>
        <w:pStyle w:val="Heading3"/>
        <w:spacing w:after="80" w:before="180"/>
      </w:pPr>
      <w:r>
        <w:rPr>
          <w:rFonts w:ascii="Arial" w:cs="Arial" w:eastAsia="Arial" w:hAnsi="Arial"/>
          <w:b/>
          <w:bCs/>
          <w:color w:val="1B3A6B"/>
          <w:sz w:val="22"/>
          <w:szCs w:val="22"/>
        </w:rPr>
        <w:t xml:space="preserve">Funciones eliminadas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Módulo</w:t>
            </w:r>
          </w:p>
        </w:tc>
        <w:tc>
          <w:tcPr>
            <w:tcW w:type="dxa" w:w="6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Funciones eliminadas</w:t>
            </w:r>
          </w:p>
        </w:tc>
      </w:tr>
      <w:tr>
        <w:tc>
          <w:tcPr>
            <w:tcW w:type="dxa" w:w="3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Utilidades internas</w:t>
            </w:r>
          </w:p>
        </w:tc>
        <w:tc>
          <w:tcPr>
            <w:tcW w:type="dxa" w:w="6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fn_generar_numero_pedido, fn_generar_numero_cotizacion, fn_set_updated_at, fn_crear_trigger_updated_at, fn_productos_fts, fn_blog_fts</w:t>
            </w:r>
          </w:p>
        </w:tc>
      </w:tr>
      <w:tr>
        <w:tc>
          <w:tcPr>
            <w:tcW w:type="dxa" w:w="3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Usuarios</w:t>
            </w:r>
          </w:p>
        </w:tc>
        <w:tc>
          <w:tcPr>
            <w:tcW w:type="dxa" w:w="6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fn_registrar_usuario, fn_obtener_perfil_cliente, fn_actualizar_datos_personales, fn_toggle_bloqueo_cliente, fn_admin_listar_clientes</w:t>
            </w:r>
          </w:p>
        </w:tc>
      </w:tr>
      <w:tr>
        <w:tc>
          <w:tcPr>
            <w:tcW w:type="dxa" w:w="3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Catálogo</w:t>
            </w:r>
          </w:p>
        </w:tc>
        <w:tc>
          <w:tcPr>
            <w:tcW w:type="dxa" w:w="6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fn_listar_productos, fn_producto_detalle, fn_producto_datos, fn_guardar_producto</w:t>
            </w:r>
          </w:p>
        </w:tc>
      </w:tr>
      <w:tr>
        <w:tc>
          <w:tcPr>
            <w:tcW w:type="dxa" w:w="3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Carrito</w:t>
            </w:r>
          </w:p>
        </w:tc>
        <w:tc>
          <w:tcPr>
            <w:tcW w:type="dxa" w:w="6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fn_carrito_agregar_item, fn_carrito_obtener, fn_carrito_aplicar_cupon</w:t>
            </w:r>
          </w:p>
        </w:tc>
      </w:tr>
      <w:tr>
        <w:tc>
          <w:tcPr>
            <w:tcW w:type="dxa" w:w="3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Pedidos</w:t>
            </w:r>
          </w:p>
        </w:tc>
        <w:tc>
          <w:tcPr>
            <w:tcW w:type="dxa" w:w="6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fn_crear_pedido, fn_actualizar_estado_pedido, fn_listar_pedidos_cliente, fn_detalle_pedido</w:t>
            </w:r>
          </w:p>
        </w:tc>
      </w:tr>
      <w:tr>
        <w:tc>
          <w:tcPr>
            <w:tcW w:type="dxa" w:w="3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Cotizaciones</w:t>
            </w:r>
          </w:p>
        </w:tc>
        <w:tc>
          <w:tcPr>
            <w:tcW w:type="dxa" w:w="6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fn_crear_cotizacion, fn_responder_cotizacion</w:t>
            </w:r>
          </w:p>
        </w:tc>
      </w:tr>
      <w:tr>
        <w:tc>
          <w:tcPr>
            <w:tcW w:type="dxa" w:w="3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Inventario</w:t>
            </w:r>
          </w:p>
        </w:tc>
        <w:tc>
          <w:tcPr>
            <w:tcW w:type="dxa" w:w="6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fn_ajustar_stock, fn_alertas_inventario</w:t>
            </w:r>
          </w:p>
        </w:tc>
      </w:tr>
      <w:tr>
        <w:tc>
          <w:tcPr>
            <w:tcW w:type="dxa" w:w="3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Dashboard</w:t>
            </w:r>
          </w:p>
        </w:tc>
        <w:tc>
          <w:tcPr>
            <w:tcW w:type="dxa" w:w="6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fn_dashboard_resumen, fn_ventas_semana</w:t>
            </w:r>
          </w:p>
        </w:tc>
      </w:tr>
      <w:tr>
        <w:tc>
          <w:tcPr>
            <w:tcW w:type="dxa" w:w="3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Blog/CMS</w:t>
            </w:r>
          </w:p>
        </w:tc>
        <w:tc>
          <w:tcPr>
            <w:tcW w:type="dxa" w:w="6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fn_guardar_articulo</w:t>
            </w:r>
          </w:p>
        </w:tc>
      </w:tr>
      <w:tr>
        <w:tc>
          <w:tcPr>
            <w:tcW w:type="dxa" w:w="3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Configuración</w:t>
            </w:r>
          </w:p>
        </w:tc>
        <w:tc>
          <w:tcPr>
            <w:tcW w:type="dxa" w:w="6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fn_obtener_configuracion, fn_guardar_configuracion</w:t>
            </w:r>
          </w:p>
        </w:tc>
      </w:tr>
      <w:tr>
        <w:tc>
          <w:tcPr>
            <w:tcW w:type="dxa" w:w="3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Favoritos</w:t>
            </w:r>
          </w:p>
        </w:tc>
        <w:tc>
          <w:tcPr>
            <w:tcW w:type="dxa" w:w="6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fn_toggle_favorito, fn_listar_favoritos</w:t>
            </w:r>
          </w:p>
        </w:tc>
      </w:tr>
    </w:tbl>
    <w:p>
      <w:r>
        <w:t xml:space="preserve"/>
      </w:r>
    </w:p>
    <w:p>
      <w:pPr>
        <w:spacing w:after="60" w:before="60"/>
        <w:jc w:val="both"/>
      </w:pPr>
      <w:r>
        <w:rPr>
          <w:rFonts w:ascii="Arial" w:cs="Arial" w:eastAsia="Arial" w:hAnsi="Arial"/>
          <w:color w:val="1A1A1A"/>
          <w:sz w:val="20"/>
          <w:szCs w:val="20"/>
        </w:rPr>
        <w:t xml:space="preserve">Al finalizar su ejecución, el script emite el mensaje de confirmación: "Todas las funciones eliminadas correctamente", lo cual sirve como señal visual para el administrador de base de datos antes de continuar con la instalación.</w:t>
      </w:r>
    </w:p>
    <w:p>
      <w:r>
        <w:br w:type="page"/>
      </w:r>
    </w:p>
    <w:p>
      <w:pPr>
        <w:pStyle w:val="Heading2"/>
        <w:spacing w:after="120" w:before="240"/>
      </w:pPr>
      <w:r>
        <w:rPr>
          <w:rFonts w:ascii="Arial" w:cs="Arial" w:eastAsia="Arial" w:hAnsi="Arial"/>
          <w:b/>
          <w:bCs/>
          <w:color w:val="2E5FA3"/>
          <w:sz w:val="26"/>
          <w:szCs w:val="26"/>
        </w:rPr>
        <w:t xml:space="preserve">2.2 Archivo 02 — Funciones y Procedimientos (02_functions.sql)</w:t>
      </w:r>
    </w:p>
    <w:p>
      <w:pPr>
        <w:spacing w:after="60" w:before="60"/>
        <w:jc w:val="both"/>
      </w:pPr>
      <w:r>
        <w:rPr>
          <w:rFonts w:ascii="Arial" w:cs="Arial" w:eastAsia="Arial" w:hAnsi="Arial"/>
          <w:color w:val="1A1A1A"/>
          <w:sz w:val="20"/>
          <w:szCs w:val="20"/>
        </w:rPr>
        <w:t xml:space="preserve">Este es el archivo central de lógica de negocio. Contiene todas las funciones escritas en PL/pgSQL que implementan las operaciones del sistema. En PostgreSQL, a diferencia de otros motores, los stored procedures que retornan datos se implementan como FUNCTIONS con RETURNS TABLE, lo que permite un manejo unificado y tipado de los resultados.</w:t>
      </w:r>
    </w:p>
    <w:p>
      <w:pPr>
        <w:spacing w:after="60" w:before="60"/>
        <w:jc w:val="both"/>
      </w:pPr>
      <w:r>
        <w:rPr>
          <w:rFonts w:ascii="Arial" w:cs="Arial" w:eastAsia="Arial" w:hAnsi="Arial"/>
          <w:color w:val="1A1A1A"/>
          <w:sz w:val="20"/>
          <w:szCs w:val="20"/>
        </w:rPr>
        <w:t xml:space="preserve">El archivo está organizado en módulos claramente delimitados por comentarios de bloque. A continuación se documenta cada módulo con sus funciones.</w:t>
      </w:r>
    </w:p>
    <w:p>
      <w:r>
        <w:t xml:space="preserve"/>
      </w:r>
    </w:p>
    <w:p>
      <w:pPr>
        <w:pStyle w:val="Heading3"/>
        <w:spacing w:after="80" w:before="180"/>
      </w:pPr>
      <w:r>
        <w:rPr>
          <w:rFonts w:ascii="Arial" w:cs="Arial" w:eastAsia="Arial" w:hAnsi="Arial"/>
          <w:b/>
          <w:bCs/>
          <w:color w:val="1B3A6B"/>
          <w:sz w:val="22"/>
          <w:szCs w:val="22"/>
        </w:rPr>
        <w:t xml:space="preserve">2.2.1 Módulo: Utilidades internas</w:t>
      </w:r>
    </w:p>
    <w:p>
      <w:pPr>
        <w:spacing w:after="60" w:before="60"/>
        <w:jc w:val="both"/>
      </w:pPr>
      <w:r>
        <w:rPr>
          <w:rFonts w:ascii="Arial" w:cs="Arial" w:eastAsia="Arial" w:hAnsi="Arial"/>
          <w:color w:val="1A1A1A"/>
          <w:sz w:val="20"/>
          <w:szCs w:val="20"/>
        </w:rPr>
        <w:t xml:space="preserve">Contiene funciones de apoyo utilizadas internamente por otros módulos. No están diseñadas para ser llamadas directamente desde la capa de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fn_generar_numero_pedido()</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Genera un número de pedido único con formato MBS-YYYY-NNNNNN, donde YYYY es el año actual y NNNNNN es un secuencial de 6 dígitos con relleno de ceros.</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Ninguno</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w:t>
            </w:r>
          </w:p>
        </w:tc>
      </w:tr>
    </w:tbl>
    <w:p>
      <w:r>
        <w:t xml:space="preserve"/>
      </w:r>
    </w:p>
    <w:p>
      <w:pPr>
        <w:spacing w:after="60" w:before="60"/>
        <w:jc w:val="both"/>
      </w:pPr>
      <w:r>
        <w:rPr>
          <w:rFonts w:ascii="Arial" w:cs="Arial" w:eastAsia="Arial" w:hAnsi="Arial"/>
          <w:color w:val="1A1A1A"/>
          <w:sz w:val="20"/>
          <w:szCs w:val="20"/>
        </w:rPr>
        <w:t xml:space="preserve">La función consulta la tabla pedidos filtrando por el año en curso y obtiene el máximo secuencial, incrementándolo en 1. Esto garantiza unicidad sin depender de secuencias de PostgreSQL, permitiendo además un formato legible y autoexplicativo en los comprobantes del cliente.</w:t>
      </w:r>
    </w:p>
    <w:p>
      <w:r>
        <w:t xml:space="preserve"/>
      </w:r>
    </w:p>
    <w:p>
      <w:pPr>
        <w:pStyle w:val="Heading3"/>
        <w:spacing w:after="80" w:before="180"/>
      </w:pPr>
      <w:r>
        <w:rPr>
          <w:rFonts w:ascii="Arial" w:cs="Arial" w:eastAsia="Arial" w:hAnsi="Arial"/>
          <w:b/>
          <w:bCs/>
          <w:color w:val="1B3A6B"/>
          <w:sz w:val="22"/>
          <w:szCs w:val="22"/>
        </w:rPr>
        <w:t xml:space="preserve">2.2.2 Módulo: Usuarios</w:t>
      </w:r>
    </w:p>
    <w:p>
      <w:pPr>
        <w:spacing w:after="60" w:before="60"/>
        <w:jc w:val="both"/>
      </w:pPr>
      <w:r>
        <w:rPr>
          <w:rFonts w:ascii="Arial" w:cs="Arial" w:eastAsia="Arial" w:hAnsi="Arial"/>
          <w:color w:val="1A1A1A"/>
          <w:sz w:val="20"/>
          <w:szCs w:val="20"/>
        </w:rPr>
        <w:t xml:space="preserve">Gestiona el ciclo de vida completo de los usuarios del sistema, tanto clientes finales como administradores. Todas las operaciones de escritura generan entradas en la tabla auditoria para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fn_registrar_usuario(...)</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Registra un nuevo cliente validando que el correo electrónico no esté duplicado. Crea un registro en auditoria al completar el registro.</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nombre, apellidos, email, password_hash, telefono, tipo</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TABLE(usuario_id INT, mensaje VARCHAR)</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fn_obtener_perfil_cliente(p_usuario_id)</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Retorna el perfil completo del cliente incluyendo estadísticas calculadas en tiempo real: total de pedidos, monto gastado y número de favoritos.</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p_usuario_id INT</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 con 14 columnas</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fn_actualizar_datos_personales(...)</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Actualiza nombre, apellidos, teléfono, RFC y razón social del cliente. Registra la acción en auditoria.</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usuario_id, nombre, apellidos, telefono, rfc, razon_social</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 ('OK')</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fn_toggle_bloqueo_cliente(...)</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Bloquea o desbloquea un cliente administrativamente, registrando el motivo y el administrador responsable en la tabla de auditoría.</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usuario_id, bloqueado BOOLEAN, motivo, admin_id</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 ('OK')</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fn_admin_listar_clientes(...)</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Lista clientes con paginación (15 por página), búsqueda por nombre/email/RFC y filtro por tipo. Incluye agregados de pedidos y monto gastado.</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busqueda, tipo, pagina</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 con 13 columnas + total_registros</w:t>
            </w:r>
          </w:p>
        </w:tc>
      </w:tr>
    </w:tbl>
    <w:p>
      <w:r>
        <w:br w:type="page"/>
      </w:r>
    </w:p>
    <w:p>
      <w:pPr>
        <w:pStyle w:val="Heading3"/>
        <w:spacing w:after="80" w:before="180"/>
      </w:pPr>
      <w:r>
        <w:rPr>
          <w:rFonts w:ascii="Arial" w:cs="Arial" w:eastAsia="Arial" w:hAnsi="Arial"/>
          <w:b/>
          <w:bCs/>
          <w:color w:val="1B3A6B"/>
          <w:sz w:val="22"/>
          <w:szCs w:val="22"/>
        </w:rPr>
        <w:t xml:space="preserve">2.2.3 Módulo: Catálogo de productos</w:t>
      </w:r>
    </w:p>
    <w:p>
      <w:pPr>
        <w:spacing w:after="60" w:before="60"/>
        <w:jc w:val="both"/>
      </w:pPr>
      <w:r>
        <w:rPr>
          <w:rFonts w:ascii="Arial" w:cs="Arial" w:eastAsia="Arial" w:hAnsi="Arial"/>
          <w:color w:val="1A1A1A"/>
          <w:sz w:val="20"/>
          <w:szCs w:val="20"/>
        </w:rPr>
        <w:t xml:space="preserve">Implementa la lógica de consulta y administración del catálogo. Destaca el uso de búsqueda de texto completo (Full-Text Search) mediante el campo fts de tipo tsvector, que permite búsquedas eficientes sin necesidad de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fn_listar_productos(...)</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Listado público de productos con filtros acumulables: categoría, marca, rango de precios, disponibilidad en stock y búsqueda FTS. Incluye paginación dinámica y ordenamiento.</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categoria_id, marca_id, precio_min, precio_max, solo_stock, busqueda, orden, pagina, por_pagina</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 con 15 columnas + total_registros</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fn_producto_detalle(p_slug)</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Retorna el detalle completo de un producto activo por su slug SEO-friendly, incluyendo calificación promedio y total de reseñas aprobadas.</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p_slug VARCHAR</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 con 15 columnas</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fn_producto_datos(p_slug, p_usuario_id)</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Función auxiliar que incrementa el contador de visitas del producto consultado. Se llama conjuntamente con fn_producto_detalle.</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p_slug, p_usuario_id (opcional)</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VOID</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fn_guardar_producto(...)</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Función dual: crea un producto nuevo (p_id = 0) o actualiza uno existente. En creación registra movimiento de inventario inicial. Genera slug automáticamente a partir del nombre.</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id, sku, nombre, descripciones, categoria_id, marca_id, precios, stock, estado, badge, admin_id</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TABLE(producto_id INT, mensaje VARCHAR)</w:t>
            </w:r>
          </w:p>
        </w:tc>
      </w:tr>
    </w:tbl>
    <w:p>
      <w:r>
        <w:t xml:space="preserve"/>
      </w:r>
    </w:p>
    <w:p>
      <w:pPr>
        <w:pStyle w:val="Heading3"/>
        <w:spacing w:after="80" w:before="180"/>
      </w:pPr>
      <w:r>
        <w:rPr>
          <w:rFonts w:ascii="Arial" w:cs="Arial" w:eastAsia="Arial" w:hAnsi="Arial"/>
          <w:b/>
          <w:bCs/>
          <w:color w:val="1B3A6B"/>
          <w:sz w:val="22"/>
          <w:szCs w:val="22"/>
        </w:rPr>
        <w:t xml:space="preserve">2.2.4 Módulo: Carrito de compras</w:t>
      </w:r>
    </w:p>
    <w:p>
      <w:pPr>
        <w:spacing w:after="60" w:before="60"/>
        <w:jc w:val="both"/>
      </w:pPr>
      <w:r>
        <w:rPr>
          <w:rFonts w:ascii="Arial" w:cs="Arial" w:eastAsia="Arial" w:hAnsi="Arial"/>
          <w:color w:val="1A1A1A"/>
          <w:sz w:val="20"/>
          <w:szCs w:val="20"/>
        </w:rPr>
        <w:t xml:space="preserve">Implementa el carrito con soporte híbrido: usuarios autenticados se identifican por usuario_id y usuarios anónimos por session_key. Esto permite persistir el carrito entre dispositivos para usuarios registrados sin requerir autenticación para invitados.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fn_carrito_agregar_item(...)</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Agrega un producto al carrito o incrementa la cantidad si ya existe. Valida disponibilidad de stock antes de confirmar. Crea el carrito automáticamente si no existe.</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usuario_id, session_key, producto_id, variante_id, cantidad</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TABLE(carrito_id INT, mensaje VARCHAR)</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fn_carrito_obtener(...)</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Retorna todos los ítems del carrito con datos del producto, variante seleccionada e imagen principal. Calcula el subtotal por ítem.</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usuario_id, session_key</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 con 11 columnas</w:t>
            </w:r>
          </w:p>
        </w:tc>
      </w:tr>
    </w:tbl>
    <w:p>
      <w:r>
        <w:br w:type="page"/>
      </w:r>
    </w:p>
    <w:p>
      <w:pPr>
        <w:pStyle w:val="Heading3"/>
        <w:spacing w:after="80" w:before="180"/>
      </w:pPr>
      <w:r>
        <w:rPr>
          <w:rFonts w:ascii="Arial" w:cs="Arial" w:eastAsia="Arial" w:hAnsi="Arial"/>
          <w:b/>
          <w:bCs/>
          <w:color w:val="1B3A6B"/>
          <w:sz w:val="22"/>
          <w:szCs w:val="22"/>
        </w:rPr>
        <w:t xml:space="preserve">2.2.5 Módulo: Pedidos</w:t>
      </w:r>
    </w:p>
    <w:p>
      <w:pPr>
        <w:spacing w:after="60" w:before="60"/>
        <w:jc w:val="both"/>
      </w:pPr>
      <w:r>
        <w:rPr>
          <w:rFonts w:ascii="Arial" w:cs="Arial" w:eastAsia="Arial" w:hAnsi="Arial"/>
          <w:color w:val="1A1A1A"/>
          <w:sz w:val="20"/>
          <w:szCs w:val="20"/>
        </w:rPr>
        <w:t xml:space="preserve">Es el módulo más complejo del sistema. La función fn_crear_pedido implementa una transacción completa que valida stock, calcula totales (incluyendo IVA del 16%), descuenta inventario, genera número de pedido, guarda snapshot de dirección, registra historial y envía notificación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fn_crear_pedido(...)</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Crea un pedido completo desde el carrito. Valida stock, calcula subtotal, envío e IVA (16%), genera número de pedido, hace snapshot de dirección, descuenta stock, registra movimientos y limpia el carrito.</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usuario_id, carrito_id, direccion_id, metodo_envio_id, metodo_pago_id, notas_cliente, requiere_factura</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TABLE(pedido_id INT, numero_pedido VARCHAR, mensaje VARCHAR)</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fn_actualizar_estado_pedido(...)</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Cambia el estado del pedido, actualiza datos de paquetería y guía de rastreo, registra en historial y notifica al cliente.</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pedido_id, estado, paqueteria, guia, notas, admin_id</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 ('OK')</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fn_listar_pedidos_cliente(...)</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Lista los pedidos de un cliente con paginación (10 por página) y filtro opcional por estado.</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usuario_id, estado, pagina</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 con 9 columnas + total_registros</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fn_detalle_pedido(...)</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Retorna el detalle completo de un pedido: datos generales, ítems adquiridos e historial de estados con fechas.</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pedido_id, usuario_id (opcional)</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 con 15 columnas</w:t>
            </w:r>
          </w:p>
        </w:tc>
      </w:tr>
    </w:tbl>
    <w:p>
      <w:r>
        <w:t xml:space="preserve"/>
      </w:r>
    </w:p>
    <w:p>
      <w:pPr>
        <w:pStyle w:val="Heading3"/>
        <w:spacing w:after="80" w:before="180"/>
      </w:pPr>
      <w:r>
        <w:rPr>
          <w:rFonts w:ascii="Arial" w:cs="Arial" w:eastAsia="Arial" w:hAnsi="Arial"/>
          <w:b/>
          <w:bCs/>
          <w:color w:val="1B3A6B"/>
          <w:sz w:val="22"/>
          <w:szCs w:val="22"/>
        </w:rPr>
        <w:t xml:space="preserve">2.2.6 Módulo: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fn_ajustar_stock(...)</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Realiza un ajuste manual de stock. Registra el movimiento en inventario_movimientos y genera entrada en auditoria con el motivo.</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producto_id, nuevo_stock, motivo, admin_id</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 ('OK' o error)</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fn_alertas_inventario()</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Retorna productos activos cuyo stock está en o por debajo del mínimo. Clasifica en tres niveles: 'Sin stock', 'Critico' y 'Bajo'.</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Ninguno</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 con 7 columnas incluyendo nivel_alerta</w:t>
            </w:r>
          </w:p>
        </w:tc>
      </w:tr>
    </w:tbl>
    <w:p>
      <w:r>
        <w:t xml:space="preserve"/>
      </w:r>
    </w:p>
    <w:p>
      <w:pPr>
        <w:pStyle w:val="Heading3"/>
        <w:spacing w:after="80" w:before="180"/>
      </w:pPr>
      <w:r>
        <w:rPr>
          <w:rFonts w:ascii="Arial" w:cs="Arial" w:eastAsia="Arial" w:hAnsi="Arial"/>
          <w:b/>
          <w:bCs/>
          <w:color w:val="1B3A6B"/>
          <w:sz w:val="22"/>
          <w:szCs w:val="22"/>
        </w:rPr>
        <w:t xml:space="preserve">2.2.7 Módulo: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fn_dashboard_resumen()</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Retorna en una sola consulta: pedidos del día, pedidos sin atender, clientes activos, clientes nuevos del mes, productos activos, productos con stock bajo y ventas del día.</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Ninguno</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 con 7 métricas en una fila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fn_ventas_semana()</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Retorna los últimos 7 días con número de pedidos y monto total de ventas pagadas por día, ordenados cronológicamente.</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Ninguno</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TABLE(dia, dia_nombre, num_pedidos, total_ventas)</w:t>
            </w:r>
          </w:p>
        </w:tc>
      </w:tr>
    </w:tbl>
    <w:p>
      <w:r>
        <w:br w:type="page"/>
      </w:r>
    </w:p>
    <w:p>
      <w:pPr>
        <w:pStyle w:val="Heading3"/>
        <w:spacing w:after="80" w:before="180"/>
      </w:pPr>
      <w:r>
        <w:rPr>
          <w:rFonts w:ascii="Arial" w:cs="Arial" w:eastAsia="Arial" w:hAnsi="Arial"/>
          <w:b/>
          <w:bCs/>
          <w:color w:val="1B3A6B"/>
          <w:sz w:val="22"/>
          <w:szCs w:val="22"/>
        </w:rPr>
        <w:t xml:space="preserve">2.2.8 Módulo: Configuración y Favoritos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fn_obtener_configuracion(p_seccion)</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Retorna los parámetros de configuración del sistema. Filtra por sección si se especifica.</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p_seccion VARCHAR (opcional)</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TABLE(clave, valor, tipo)</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fn_guardar_configuracion(...)</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Inserta o actualiza (upsert) un parámetro de configuración por su clave. Registra el cambio en auditoría.</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clave, valor, admin_id</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 ('OK')</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fn_toggle_favorito(...)</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Agrega o elimina un producto de los favoritos del cliente de forma alternada. Retorna 'agregado' o 'eliminado'.</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usuario_id, producto_id</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fn_listar_favoritos(p_usuario_id)</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Lista todos los productos favoritos del cliente con datos básicos e imagen principal, ordenados por fecha de agregado.</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p_usuario_id INT</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 con 9 columnas</w:t>
            </w:r>
          </w:p>
        </w:tc>
      </w:tr>
    </w:tbl>
    <w:p>
      <w:r>
        <w:br w:type="page"/>
      </w:r>
    </w:p>
    <w:p>
      <w:pPr>
        <w:pStyle w:val="Heading2"/>
        <w:spacing w:after="120" w:before="240"/>
      </w:pPr>
      <w:r>
        <w:rPr>
          <w:rFonts w:ascii="Arial" w:cs="Arial" w:eastAsia="Arial" w:hAnsi="Arial"/>
          <w:b/>
          <w:bCs/>
          <w:color w:val="2E5FA3"/>
          <w:sz w:val="26"/>
          <w:szCs w:val="26"/>
        </w:rPr>
        <w:t xml:space="preserve">2.3 Archivo 03 — Datos Iniciales (03_seed_data.sql)</w:t>
      </w:r>
    </w:p>
    <w:p>
      <w:pPr>
        <w:spacing w:after="60" w:before="60"/>
        <w:jc w:val="both"/>
      </w:pPr>
      <w:r>
        <w:rPr>
          <w:rFonts w:ascii="Arial" w:cs="Arial" w:eastAsia="Arial" w:hAnsi="Arial"/>
          <w:color w:val="1A1A1A"/>
          <w:sz w:val="20"/>
          <w:szCs w:val="20"/>
        </w:rPr>
        <w:t xml:space="preserve">El archivo de seed data establece el estado inicial funcional del sistema, permitiendo que la aplicación arranque sin datos vacíos y con una configuración válida. Todos los bloques usan ON CONFLICT ... DO NOTHING, garantizando idempotencia.</w:t>
      </w:r>
    </w:p>
    <w:p>
      <w:r>
        <w:t xml:space="preserve"/>
      </w:r>
    </w:p>
    <w:p>
      <w:pPr>
        <w:pStyle w:val="Heading3"/>
        <w:spacing w:after="80" w:before="180"/>
      </w:pPr>
      <w:r>
        <w:rPr>
          <w:rFonts w:ascii="Arial" w:cs="Arial" w:eastAsia="Arial" w:hAnsi="Arial"/>
          <w:b/>
          <w:bCs/>
          <w:color w:val="1B3A6B"/>
          <w:sz w:val="22"/>
          <w:szCs w:val="22"/>
        </w:rPr>
        <w:t xml:space="preserve">2.3.1 Configuración del sitio</w:t>
      </w:r>
    </w:p>
    <w:p>
      <w:pPr>
        <w:spacing w:after="60" w:before="60"/>
        <w:jc w:val="both"/>
      </w:pPr>
      <w:r>
        <w:rPr>
          <w:rFonts w:ascii="Arial" w:cs="Arial" w:eastAsia="Arial" w:hAnsi="Arial"/>
          <w:color w:val="1A1A1A"/>
          <w:sz w:val="20"/>
          <w:szCs w:val="20"/>
        </w:rPr>
        <w:t xml:space="preserve">Se insertan 18 parámetros de configuración distribuidos en cuatro secciones: general, notificaciones, seguridad y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Sección</w:t>
            </w:r>
          </w:p>
        </w:tc>
        <w:tc>
          <w:tcPr>
            <w:tcW w:type="dxa" w:w="6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Claves configuradas</w:t>
            </w:r>
          </w:p>
        </w:tc>
      </w:tr>
      <w:tr>
        <w:tc>
          <w:tcPr>
            <w:tcW w:type="dxa" w:w="2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general</w:t>
            </w:r>
          </w:p>
        </w:tc>
        <w:tc>
          <w:tcPr>
            <w:tcW w:type="dxa" w:w="6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site_nombre, site_slogan, site_url, site_email, site_telefono, site_whatsapp, site_direccion, site_moneda, site_iva_pct, site_precios_con_iva, site_facebook, site_instagram</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notificaciones</w:t>
            </w:r>
          </w:p>
        </w:tc>
        <w:tc>
          <w:tcPr>
            <w:tcW w:type="dxa" w:w="6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notif_admin_email, notif_nuevo_pedido, notif_stock_bajo, notif_cliente_confirmacion, notif_cliente_estado</w:t>
            </w:r>
          </w:p>
        </w:tc>
      </w:tr>
      <w:tr>
        <w:tc>
          <w:tcPr>
            <w:tcW w:type="dxa" w:w="2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seguridad</w:t>
            </w:r>
          </w:p>
        </w:tc>
        <w:tc>
          <w:tcPr>
            <w:tcW w:type="dxa" w:w="6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seg_2fa_activo</w:t>
            </w:r>
          </w:p>
        </w:tc>
      </w:tr>
    </w:tbl>
    <w:p>
      <w:r>
        <w:t xml:space="preserve"/>
      </w:r>
    </w:p>
    <w:p>
      <w:pPr>
        <w:pStyle w:val="Heading3"/>
        <w:spacing w:after="80" w:before="180"/>
      </w:pPr>
      <w:r>
        <w:rPr>
          <w:rFonts w:ascii="Arial" w:cs="Arial" w:eastAsia="Arial" w:hAnsi="Arial"/>
          <w:b/>
          <w:bCs/>
          <w:color w:val="1B3A6B"/>
          <w:sz w:val="22"/>
          <w:szCs w:val="22"/>
        </w:rPr>
        <w:t xml:space="preserve">2.3.2 Catálogo: Marcas y categorías</w:t>
      </w:r>
    </w:p>
    <w:p>
      <w:pPr>
        <w:spacing w:after="60" w:before="60"/>
        <w:jc w:val="both"/>
      </w:pPr>
      <w:r>
        <w:rPr>
          <w:rFonts w:ascii="Arial" w:cs="Arial" w:eastAsia="Arial" w:hAnsi="Arial"/>
          <w:color w:val="1A1A1A"/>
          <w:sz w:val="20"/>
          <w:szCs w:val="20"/>
        </w:rPr>
        <w:t xml:space="preserve">Se registran 6 marcas del sector (Corning, CommScope, Panduit, Siemon, Belden, MBS) y 6 categorías de productos con slugs y metadatos para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Categoría</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Slug</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Orden</w:t>
            </w:r>
          </w:p>
        </w:tc>
      </w:tr>
      <w:tr>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Cables de fibra</w:t>
            </w:r>
          </w:p>
        </w:tc>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cables-de-fibra</w:t>
            </w:r>
          </w:p>
        </w:tc>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1</w:t>
            </w:r>
          </w:p>
        </w:tc>
      </w:tr>
      <w:tr>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Conectores</w:t>
            </w:r>
          </w:p>
        </w:tc>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conectores</w:t>
            </w:r>
          </w:p>
        </w:tc>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2</w:t>
            </w:r>
          </w:p>
        </w:tc>
      </w:tr>
      <w:tr>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Patch Cords</w:t>
            </w:r>
          </w:p>
        </w:tc>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patch-cords</w:t>
            </w:r>
          </w:p>
        </w:tc>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3</w:t>
            </w:r>
          </w:p>
        </w:tc>
      </w:tr>
      <w:tr>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Equipos activos</w:t>
            </w:r>
          </w:p>
        </w:tc>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equipos-activos</w:t>
            </w:r>
          </w:p>
        </w:tc>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4</w:t>
            </w:r>
          </w:p>
        </w:tc>
      </w:tr>
      <w:tr>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Herramientas</w:t>
            </w:r>
          </w:p>
        </w:tc>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herramientas</w:t>
            </w:r>
          </w:p>
        </w:tc>
        <w:tc>
          <w:tcPr>
            <w:tcW w:type="dxa" w:w="31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5</w:t>
            </w:r>
          </w:p>
        </w:tc>
      </w:tr>
      <w:tr>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Accesorios</w:t>
            </w:r>
          </w:p>
        </w:tc>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accesorios</w:t>
            </w:r>
          </w:p>
        </w:tc>
        <w:tc>
          <w:tcPr>
            <w:tcW w:type="dxa" w:w="31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6</w:t>
            </w:r>
          </w:p>
        </w:tc>
      </w:tr>
    </w:tbl>
    <w:p>
      <w:r>
        <w:t xml:space="preserve"/>
      </w:r>
    </w:p>
    <w:p>
      <w:pPr>
        <w:pStyle w:val="Heading3"/>
        <w:spacing w:after="80" w:before="180"/>
      </w:pPr>
      <w:r>
        <w:rPr>
          <w:rFonts w:ascii="Arial" w:cs="Arial" w:eastAsia="Arial" w:hAnsi="Arial"/>
          <w:b/>
          <w:bCs/>
          <w:color w:val="1B3A6B"/>
          <w:sz w:val="22"/>
          <w:szCs w:val="22"/>
        </w:rPr>
        <w:t xml:space="preserve">2.3.3 Métodos de envío y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344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Método de envío</w:t>
            </w:r>
          </w:p>
        </w:tc>
        <w:tc>
          <w:tcPr>
            <w:tcW w:type="dxa" w:w="15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Precio</w:t>
            </w:r>
          </w:p>
        </w:tc>
        <w:tc>
          <w:tcPr>
            <w:tcW w:type="dxa" w:w="15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Días</w:t>
            </w:r>
          </w:p>
        </w:tc>
        <w:tc>
          <w:tcPr>
            <w:tcW w:type="dxa" w:w="3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Envío gratis desde</w:t>
            </w:r>
          </w:p>
        </w:tc>
      </w:tr>
      <w:tr>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FedEx Express</w:t>
            </w:r>
          </w:p>
        </w:tc>
        <w:tc>
          <w:tcPr>
            <w:tcW w:type="dxa" w:w="1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$120.00</w:t>
            </w:r>
          </w:p>
        </w:tc>
        <w:tc>
          <w:tcPr>
            <w:tcW w:type="dxa" w:w="1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3–5 días</w:t>
            </w:r>
          </w:p>
        </w:tc>
        <w:tc>
          <w:tcPr>
            <w:tcW w:type="dxa" w:w="344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$2,000</w:t>
            </w:r>
          </w:p>
        </w:tc>
      </w:tr>
      <w:tr>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FedEx Overnight</w:t>
            </w:r>
          </w:p>
        </w:tc>
        <w:tc>
          <w:tcPr>
            <w:tcW w:type="dxa" w:w="15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$280.00</w:t>
            </w:r>
          </w:p>
        </w:tc>
        <w:tc>
          <w:tcPr>
            <w:tcW w:type="dxa" w:w="15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1–2 días</w:t>
            </w:r>
          </w:p>
        </w:tc>
        <w:tc>
          <w:tcPr>
            <w:tcW w:type="dxa" w:w="344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r>
      <w:tr>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Recoger en sucursal</w:t>
            </w:r>
          </w:p>
        </w:tc>
        <w:tc>
          <w:tcPr>
            <w:tcW w:type="dxa" w:w="1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Gratis</w:t>
            </w:r>
          </w:p>
        </w:tc>
        <w:tc>
          <w:tcPr>
            <w:tcW w:type="dxa" w:w="1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c>
          <w:tcPr>
            <w:tcW w:type="dxa" w:w="344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r>
      <w:tr>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Envío gratuito</w:t>
            </w:r>
          </w:p>
        </w:tc>
        <w:tc>
          <w:tcPr>
            <w:tcW w:type="dxa" w:w="15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Gratis</w:t>
            </w:r>
          </w:p>
        </w:tc>
        <w:tc>
          <w:tcPr>
            <w:tcW w:type="dxa" w:w="15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3–5 días</w:t>
            </w:r>
          </w:p>
        </w:tc>
        <w:tc>
          <w:tcPr>
            <w:tcW w:type="dxa" w:w="344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$2,000</w:t>
            </w:r>
          </w:p>
        </w:tc>
      </w:tr>
      <w:tr>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Estafeta Nacional</w:t>
            </w:r>
          </w:p>
        </w:tc>
        <w:tc>
          <w:tcPr>
            <w:tcW w:type="dxa" w:w="1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Por cotizar</w:t>
            </w:r>
          </w:p>
        </w:tc>
        <w:tc>
          <w:tcPr>
            <w:tcW w:type="dxa" w:w="1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5–8 días</w:t>
            </w:r>
          </w:p>
        </w:tc>
        <w:tc>
          <w:tcPr>
            <w:tcW w:type="dxa" w:w="344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2000"/>
        <w:gridCol w:w="272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Método de pago</w:t>
            </w:r>
          </w:p>
        </w:tc>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Clave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Comisión</w:t>
            </w:r>
          </w:p>
        </w:tc>
        <w:tc>
          <w:tcPr>
            <w:tcW w:type="dxa" w:w="27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Activo</w:t>
            </w:r>
          </w:p>
        </w:tc>
      </w:tr>
      <w:tr>
        <w:tc>
          <w:tcPr>
            <w:tcW w:type="dxa" w:w="3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Tarjeta crédito/débito (Stripe)</w:t>
            </w:r>
          </w:p>
        </w:tc>
        <w:tc>
          <w:tcPr>
            <w:tcW w:type="dxa" w:w="144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tarjeta</w:t>
            </w:r>
          </w:p>
        </w:tc>
        <w:tc>
          <w:tcPr>
            <w:tcW w:type="dxa" w:w="2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3.60% + $3.00</w:t>
            </w:r>
          </w:p>
        </w:tc>
        <w:tc>
          <w:tcPr>
            <w:tcW w:type="dxa" w:w="27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Sí</w:t>
            </w:r>
          </w:p>
        </w:tc>
      </w:tr>
      <w:tr>
        <w:tc>
          <w:tcPr>
            <w:tcW w:type="dxa" w:w="3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PayPal</w:t>
            </w:r>
          </w:p>
        </w:tc>
        <w:tc>
          <w:tcPr>
            <w:tcW w:type="dxa" w:w="144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paypal</w:t>
            </w:r>
          </w:p>
        </w:tc>
        <w:tc>
          <w:tcPr>
            <w:tcW w:type="dxa" w:w="2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3.90%</w:t>
            </w:r>
          </w:p>
        </w:tc>
        <w:tc>
          <w:tcPr>
            <w:tcW w:type="dxa" w:w="27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Sí</w:t>
            </w:r>
          </w:p>
        </w:tc>
      </w:tr>
      <w:tr>
        <w:tc>
          <w:tcPr>
            <w:tcW w:type="dxa" w:w="3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Transferencia SPEI</w:t>
            </w:r>
          </w:p>
        </w:tc>
        <w:tc>
          <w:tcPr>
            <w:tcW w:type="dxa" w:w="144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spei</w:t>
            </w:r>
          </w:p>
        </w:tc>
        <w:tc>
          <w:tcPr>
            <w:tcW w:type="dxa" w:w="2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Sin comisión</w:t>
            </w:r>
          </w:p>
        </w:tc>
        <w:tc>
          <w:tcPr>
            <w:tcW w:type="dxa" w:w="27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Sí</w:t>
            </w:r>
          </w:p>
        </w:tc>
      </w:tr>
      <w:tr>
        <w:tc>
          <w:tcPr>
            <w:tcW w:type="dxa" w:w="3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Pago contra entrega</w:t>
            </w:r>
          </w:p>
        </w:tc>
        <w:tc>
          <w:tcPr>
            <w:tcW w:type="dxa" w:w="144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contado</w:t>
            </w:r>
          </w:p>
        </w:tc>
        <w:tc>
          <w:tcPr>
            <w:tcW w:type="dxa" w:w="2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Sin comisión</w:t>
            </w:r>
          </w:p>
        </w:tc>
        <w:tc>
          <w:tcPr>
            <w:tcW w:type="dxa" w:w="27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Sí</w:t>
            </w:r>
          </w:p>
        </w:tc>
      </w:tr>
      <w:tr>
        <w:tc>
          <w:tcPr>
            <w:tcW w:type="dxa" w:w="3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Meses sin intereses</w:t>
            </w:r>
          </w:p>
        </w:tc>
        <w:tc>
          <w:tcPr>
            <w:tcW w:type="dxa" w:w="144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msi</w:t>
            </w:r>
          </w:p>
        </w:tc>
        <w:tc>
          <w:tcPr>
            <w:tcW w:type="dxa" w:w="2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Sin comisión</w:t>
            </w:r>
          </w:p>
        </w:tc>
        <w:tc>
          <w:tcPr>
            <w:tcW w:type="dxa" w:w="272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Sí</w:t>
            </w:r>
          </w:p>
        </w:tc>
      </w:tr>
      <w:tr>
        <w:tc>
          <w:tcPr>
            <w:tcW w:type="dxa" w:w="3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Criptomonedas (Bitpay)</w:t>
            </w:r>
          </w:p>
        </w:tc>
        <w:tc>
          <w:tcPr>
            <w:tcW w:type="dxa" w:w="144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cripto</w:t>
            </w:r>
          </w:p>
        </w:tc>
        <w:tc>
          <w:tcPr>
            <w:tcW w:type="dxa" w:w="2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Sin comisión</w:t>
            </w:r>
          </w:p>
        </w:tc>
        <w:tc>
          <w:tcPr>
            <w:tcW w:type="dxa" w:w="272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w:t>
            </w:r>
          </w:p>
        </w:tc>
      </w:tr>
    </w:tbl>
    <w:p>
      <w:r>
        <w:br w:type="page"/>
      </w:r>
    </w:p>
    <w:p>
      <w:pPr>
        <w:pStyle w:val="Heading3"/>
        <w:spacing w:after="80" w:before="180"/>
      </w:pPr>
      <w:r>
        <w:rPr>
          <w:rFonts w:ascii="Arial" w:cs="Arial" w:eastAsia="Arial" w:hAnsi="Arial"/>
          <w:b/>
          <w:bCs/>
          <w:color w:val="1B3A6B"/>
          <w:sz w:val="22"/>
          <w:szCs w:val="22"/>
        </w:rPr>
        <w:t xml:space="preserve">2.3.4 Productos iniciales</w:t>
      </w:r>
    </w:p>
    <w:p>
      <w:pPr>
        <w:spacing w:after="60" w:before="60"/>
        <w:jc w:val="both"/>
      </w:pPr>
      <w:r>
        <w:rPr>
          <w:rFonts w:ascii="Arial" w:cs="Arial" w:eastAsia="Arial" w:hAnsi="Arial"/>
          <w:color w:val="1A1A1A"/>
          <w:sz w:val="20"/>
          <w:szCs w:val="20"/>
        </w:rPr>
        <w:t xml:space="preserve">Se insertan 10 productos de muestra cubriendo las 6 categorías del catálogo, cada uno con SKU, slug, descripción, precios, stock y badge promocional.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400"/>
        <w:gridCol w:w="1000"/>
        <w:gridCol w:w="1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SKU</w:t>
            </w:r>
          </w:p>
        </w:tc>
        <w:tc>
          <w:tcPr>
            <w:tcW w:type="dxa" w:w="3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Nombre corto</w:t>
            </w:r>
          </w:p>
        </w:tc>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Precio</w:t>
            </w:r>
          </w:p>
        </w:tc>
        <w:tc>
          <w:tcPr>
            <w:tcW w:type="dxa" w:w="1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Stock</w:t>
            </w:r>
          </w:p>
        </w:tc>
        <w:tc>
          <w:tcPr>
            <w:tcW w:type="dxa" w:w="1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Badge</w:t>
            </w:r>
          </w:p>
        </w:tc>
      </w:tr>
      <w:tr>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FO-SM-SC-001</w:t>
            </w:r>
          </w:p>
        </w:tc>
        <w:tc>
          <w:tcPr>
            <w:tcW w:type="dxa" w:w="3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Cable FO Monomodo SC/UPC 3mm Drop</w:t>
            </w:r>
          </w:p>
        </w:tc>
        <w:tc>
          <w:tcPr>
            <w:tcW w:type="dxa" w:w="1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$349.00</w:t>
            </w:r>
          </w:p>
        </w:tc>
        <w:tc>
          <w:tcPr>
            <w:tcW w:type="dxa" w:w="1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84</w:t>
            </w:r>
          </w:p>
        </w:tc>
        <w:tc>
          <w:tcPr>
            <w:tcW w:type="dxa" w:w="1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nuevo</w:t>
            </w:r>
          </w:p>
        </w:tc>
      </w:tr>
      <w:tr>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CN-LC-SM-002</w:t>
            </w:r>
          </w:p>
        </w:tc>
        <w:tc>
          <w:tcPr>
            <w:tcW w:type="dxa" w:w="3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Conector LC/UPC SM Cerámica 2.0mm</w:t>
            </w:r>
          </w:p>
        </w:tc>
        <w:tc>
          <w:tcPr>
            <w:tcW w:type="dxa" w:w="1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$89.00</w:t>
            </w:r>
          </w:p>
        </w:tc>
        <w:tc>
          <w:tcPr>
            <w:tcW w:type="dxa" w:w="1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3</w:t>
            </w:r>
          </w:p>
        </w:tc>
        <w:tc>
          <w:tcPr>
            <w:tcW w:type="dxa" w:w="1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oferta</w:t>
            </w:r>
          </w:p>
        </w:tc>
      </w:tr>
      <w:tr>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PC-LCLC-SM-3M</w:t>
            </w:r>
          </w:p>
        </w:tc>
        <w:tc>
          <w:tcPr>
            <w:tcW w:type="dxa" w:w="3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Patch Cord LC-LC SM 9/125 Duplex 3m</w:t>
            </w:r>
          </w:p>
        </w:tc>
        <w:tc>
          <w:tcPr>
            <w:tcW w:type="dxa" w:w="1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$145.00</w:t>
            </w:r>
          </w:p>
        </w:tc>
        <w:tc>
          <w:tcPr>
            <w:tcW w:type="dxa" w:w="1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42</w:t>
            </w:r>
          </w:p>
        </w:tc>
        <w:tc>
          <w:tcPr>
            <w:tcW w:type="dxa" w:w="1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top_venta</w:t>
            </w:r>
          </w:p>
        </w:tc>
      </w:tr>
      <w:tr>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TR-SFP10G-SR</w:t>
            </w:r>
          </w:p>
        </w:tc>
        <w:tc>
          <w:tcPr>
            <w:tcW w:type="dxa" w:w="3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Transceiver SFP+ 10G SR 850nm 300m</w:t>
            </w:r>
          </w:p>
        </w:tc>
        <w:tc>
          <w:tcPr>
            <w:tcW w:type="dxa" w:w="1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$980.00</w:t>
            </w:r>
          </w:p>
        </w:tc>
        <w:tc>
          <w:tcPr>
            <w:tcW w:type="dxa" w:w="1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18</w:t>
            </w:r>
          </w:p>
        </w:tc>
        <w:tc>
          <w:tcPr>
            <w:tcW w:type="dxa" w:w="1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r>
      <w:tr>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HT-FSM-60S</w:t>
            </w:r>
          </w:p>
        </w:tc>
        <w:tc>
          <w:tcPr>
            <w:tcW w:type="dxa" w:w="3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Fusionadora FO Portátil FSM-60S</w:t>
            </w:r>
          </w:p>
        </w:tc>
        <w:tc>
          <w:tcPr>
            <w:tcW w:type="dxa" w:w="1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$14,500.00</w:t>
            </w:r>
          </w:p>
        </w:tc>
        <w:tc>
          <w:tcPr>
            <w:tcW w:type="dxa" w:w="1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0</w:t>
            </w:r>
          </w:p>
        </w:tc>
        <w:tc>
          <w:tcPr>
            <w:tcW w:type="dxa" w:w="1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r>
      <w:tr>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AD-SC-APC-DX</w:t>
            </w:r>
          </w:p>
        </w:tc>
        <w:tc>
          <w:tcPr>
            <w:tcW w:type="dxa" w:w="3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Adaptador SC/APC Duplex SM Verde</w:t>
            </w:r>
          </w:p>
        </w:tc>
        <w:tc>
          <w:tcPr>
            <w:tcW w:type="dxa" w:w="1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$42.00</w:t>
            </w:r>
          </w:p>
        </w:tc>
        <w:tc>
          <w:tcPr>
            <w:tcW w:type="dxa" w:w="1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5</w:t>
            </w:r>
          </w:p>
        </w:tc>
        <w:tc>
          <w:tcPr>
            <w:tcW w:type="dxa" w:w="1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r>
      <w:tr>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AC-MNG-24H</w:t>
            </w:r>
          </w:p>
        </w:tc>
        <w:tc>
          <w:tcPr>
            <w:tcW w:type="dxa" w:w="3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Manga de Empalme FO Aérea 24 hilos</w:t>
            </w:r>
          </w:p>
        </w:tc>
        <w:tc>
          <w:tcPr>
            <w:tcW w:type="dxa" w:w="1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$560.00</w:t>
            </w:r>
          </w:p>
        </w:tc>
        <w:tc>
          <w:tcPr>
            <w:tcW w:type="dxa" w:w="1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4</w:t>
            </w:r>
          </w:p>
        </w:tc>
        <w:tc>
          <w:tcPr>
            <w:tcW w:type="dxa" w:w="1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r>
      <w:tr>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HT-OTDR-SM01</w:t>
            </w:r>
          </w:p>
        </w:tc>
        <w:tc>
          <w:tcPr>
            <w:tcW w:type="dxa" w:w="3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OTDR Portátil SM/MM 1310/1550nm</w:t>
            </w:r>
          </w:p>
        </w:tc>
        <w:tc>
          <w:tcPr>
            <w:tcW w:type="dxa" w:w="1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$8,200.00</w:t>
            </w:r>
          </w:p>
        </w:tc>
        <w:tc>
          <w:tcPr>
            <w:tcW w:type="dxa" w:w="1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6</w:t>
            </w:r>
          </w:p>
        </w:tc>
        <w:tc>
          <w:tcPr>
            <w:tcW w:type="dxa" w:w="1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r>
      <w:tr>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FO-MM-OM3-12H</w:t>
            </w:r>
          </w:p>
        </w:tc>
        <w:tc>
          <w:tcPr>
            <w:tcW w:type="dxa" w:w="3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Cable FO MM OM3 50/125 LSZH 12 hilos</w:t>
            </w:r>
          </w:p>
        </w:tc>
        <w:tc>
          <w:tcPr>
            <w:tcW w:type="dxa" w:w="1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$2,100.00</w:t>
            </w:r>
          </w:p>
        </w:tc>
        <w:tc>
          <w:tcPr>
            <w:tcW w:type="dxa" w:w="10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7</w:t>
            </w:r>
          </w:p>
        </w:tc>
        <w:tc>
          <w:tcPr>
            <w:tcW w:type="dxa" w:w="13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liquidacion</w:t>
            </w:r>
          </w:p>
        </w:tc>
      </w:tr>
      <w:tr>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HT-VFL-5MW</w:t>
            </w:r>
          </w:p>
        </w:tc>
        <w:tc>
          <w:tcPr>
            <w:tcW w:type="dxa" w:w="3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Identificador Visual VFL 5mW</w:t>
            </w:r>
          </w:p>
        </w:tc>
        <w:tc>
          <w:tcPr>
            <w:tcW w:type="dxa" w:w="1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$680.00</w:t>
            </w:r>
          </w:p>
        </w:tc>
        <w:tc>
          <w:tcPr>
            <w:tcW w:type="dxa" w:w="10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19</w:t>
            </w:r>
          </w:p>
        </w:tc>
        <w:tc>
          <w:tcPr>
            <w:tcW w:type="dxa" w:w="13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top_venta</w:t>
            </w:r>
          </w:p>
        </w:tc>
      </w:tr>
    </w:tbl>
    <w:p>
      <w:r>
        <w:t xml:space="preserve"/>
      </w:r>
    </w:p>
    <w:p>
      <w:pPr>
        <w:pStyle w:val="Heading3"/>
        <w:spacing w:after="80" w:before="180"/>
      </w:pPr>
      <w:r>
        <w:rPr>
          <w:rFonts w:ascii="Arial" w:cs="Arial" w:eastAsia="Arial" w:hAnsi="Arial"/>
          <w:b/>
          <w:bCs/>
          <w:color w:val="1B3A6B"/>
          <w:sz w:val="22"/>
          <w:szCs w:val="22"/>
        </w:rPr>
        <w:t xml:space="preserve">2.3.5 Usuarios y direcciones demo</w:t>
      </w:r>
    </w:p>
    <w:p>
      <w:pPr>
        <w:spacing w:after="60" w:before="60"/>
        <w:jc w:val="both"/>
      </w:pPr>
      <w:r>
        <w:rPr>
          <w:rFonts w:ascii="Arial" w:cs="Arial" w:eastAsia="Arial" w:hAnsi="Arial"/>
          <w:color w:val="1A1A1A"/>
          <w:sz w:val="20"/>
          <w:szCs w:val="20"/>
        </w:rPr>
        <w:t xml:space="preserve">Se crean un superadministrador (admin@mbs.mx) y un cliente empresa (carlos@empresa.com) con dirección predeterminada en Santiago de Querétaro. Los hashes de contraseña son placeholders bcrypt que deben sustituirse antes del despliegue en producción.</w:t>
      </w:r>
    </w:p>
    <w:p>
      <w:r>
        <w:br w:type="page"/>
      </w:r>
    </w:p>
    <w:p>
      <w:pPr>
        <w:pStyle w:val="Heading2"/>
        <w:spacing w:after="120" w:before="240"/>
      </w:pPr>
      <w:r>
        <w:rPr>
          <w:rFonts w:ascii="Arial" w:cs="Arial" w:eastAsia="Arial" w:hAnsi="Arial"/>
          <w:b/>
          <w:bCs/>
          <w:color w:val="2E5FA3"/>
          <w:sz w:val="26"/>
          <w:szCs w:val="26"/>
        </w:rPr>
        <w:t xml:space="preserve">2.4 Archivo 05 — Módulo de Pagos (05_pagos.sql)</w:t>
      </w:r>
    </w:p>
    <w:p>
      <w:pPr>
        <w:spacing w:after="60" w:before="60"/>
        <w:jc w:val="both"/>
      </w:pPr>
      <w:r>
        <w:rPr>
          <w:rFonts w:ascii="Arial" w:cs="Arial" w:eastAsia="Arial" w:hAnsi="Arial"/>
          <w:color w:val="1A1A1A"/>
          <w:sz w:val="20"/>
          <w:szCs w:val="20"/>
        </w:rPr>
        <w:t xml:space="preserve">El módulo de pagos extiende el esquema de la tabla pedidos y agrega tres tablas especializadas para gestionar el ciclo completo de vida de los pagos mediante SPEI y PayPal, incluyendo un log centralizado de webhooks.</w:t>
      </w:r>
    </w:p>
    <w:p>
      <w:r>
        <w:t xml:space="preserve"/>
      </w:r>
    </w:p>
    <w:p>
      <w:pPr>
        <w:pStyle w:val="Heading3"/>
        <w:spacing w:after="80" w:before="180"/>
      </w:pPr>
      <w:r>
        <w:rPr>
          <w:rFonts w:ascii="Arial" w:cs="Arial" w:eastAsia="Arial" w:hAnsi="Arial"/>
          <w:b/>
          <w:bCs/>
          <w:color w:val="1B3A6B"/>
          <w:sz w:val="22"/>
          <w:szCs w:val="22"/>
        </w:rPr>
        <w:t xml:space="preserve">2.4.1 Extensión de tabla pedidos</w:t>
      </w:r>
    </w:p>
    <w:p>
      <w:pPr>
        <w:spacing w:after="60" w:before="60"/>
        <w:jc w:val="both"/>
      </w:pPr>
      <w:r>
        <w:rPr>
          <w:rFonts w:ascii="Arial" w:cs="Arial" w:eastAsia="Arial" w:hAnsi="Arial"/>
          <w:color w:val="1A1A1A"/>
          <w:sz w:val="20"/>
          <w:szCs w:val="20"/>
        </w:rPr>
        <w:t xml:space="preserve">Se agregan 6 columnas a la tabla pedidos mediante ALTER TABLE ... ADD COLUMN IF NOT EXISTS, garantizando compatibilidad con versiones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Columna agregada</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Tipo</w:t>
            </w:r>
          </w:p>
        </w:tc>
        <w:tc>
          <w:tcPr>
            <w:tcW w:type="dxa" w:w="4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pago_proveedor</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VARCHAR(30)</w:t>
            </w:r>
          </w:p>
        </w:tc>
        <w:tc>
          <w:tcPr>
            <w:tcW w:type="dxa" w:w="4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Proveedor: 'paypal', 'spei', 'tarjeta', 'contado' o 'ninguno'.</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pago_proveedor_id</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VARCHAR(100)</w:t>
            </w:r>
          </w:p>
        </w:tc>
        <w:tc>
          <w:tcPr>
            <w:tcW w:type="dxa" w:w="4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ID de la transacción en el proveedor externo.</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pago_proveedor_estado</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VARCHAR(50)</w:t>
            </w:r>
          </w:p>
        </w:tc>
        <w:tc>
          <w:tcPr>
            <w:tcW w:type="dxa" w:w="4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Estado reportado por el proveedor (CREATED, COMPLETED, confirmado, etc.).</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pago_monto_recibido</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NUMERIC(12,2)</w:t>
            </w:r>
          </w:p>
        </w:tc>
        <w:tc>
          <w:tcPr>
            <w:tcW w:type="dxa" w:w="4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Monto exacto confirmado por el proveedor.</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pago_moneda</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CHAR(3)</w:t>
            </w:r>
          </w:p>
        </w:tc>
        <w:tc>
          <w:tcPr>
            <w:tcW w:type="dxa" w:w="4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Moneda de la transacción. Default: 'MXN'.</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pago_webhook_data</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JSONB</w:t>
            </w:r>
          </w:p>
        </w:tc>
        <w:tc>
          <w:tcPr>
            <w:tcW w:type="dxa" w:w="4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JSON completo del último webhook para auditoría y conciliación.</w:t>
            </w:r>
          </w:p>
        </w:tc>
      </w:tr>
    </w:tbl>
    <w:p>
      <w:r>
        <w:t xml:space="preserve"/>
      </w:r>
    </w:p>
    <w:p>
      <w:pPr>
        <w:pStyle w:val="Heading3"/>
        <w:spacing w:after="80" w:before="180"/>
      </w:pPr>
      <w:r>
        <w:rPr>
          <w:rFonts w:ascii="Arial" w:cs="Arial" w:eastAsia="Arial" w:hAnsi="Arial"/>
          <w:b/>
          <w:bCs/>
          <w:color w:val="1B3A6B"/>
          <w:sz w:val="22"/>
          <w:szCs w:val="22"/>
        </w:rPr>
        <w:t xml:space="preserve">2.4.2 Tabla pago_referencias (SPEI)</w:t>
      </w:r>
    </w:p>
    <w:p>
      <w:pPr>
        <w:spacing w:after="60" w:before="60"/>
        <w:jc w:val="both"/>
      </w:pPr>
      <w:r>
        <w:rPr>
          <w:rFonts w:ascii="Arial" w:cs="Arial" w:eastAsia="Arial" w:hAnsi="Arial"/>
          <w:color w:val="1A1A1A"/>
          <w:sz w:val="20"/>
          <w:szCs w:val="20"/>
        </w:rPr>
        <w:t xml:space="preserve">Almacena referencias bancarias para pagos por transferencia SPEI. Cada pedido recibe una referencia numérica única, CLABE, monto exacto y fecha de vencimiento (default 48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Campo clave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Tipo</w:t>
            </w:r>
          </w:p>
        </w:tc>
        <w:tc>
          <w:tcPr>
            <w:tcW w:type="dxa" w:w="5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clabe</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CHAR(18)</w:t>
            </w:r>
          </w:p>
        </w:tc>
        <w:tc>
          <w:tcPr>
            <w:tcW w:type="dxa" w:w="51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CLABE interbancaria de 18 dígitos del banco receptor.</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referencia</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VARCHAR(30) UNIQUE</w:t>
            </w:r>
          </w:p>
        </w:tc>
        <w:tc>
          <w:tcPr>
            <w:tcW w:type="dxa" w:w="51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Referencia numérica única que el cliente incluye en la transferencia.</w:t>
            </w:r>
          </w:p>
        </w:tc>
      </w:tr>
      <w:tr>
        <w:tc>
          <w:tcPr>
            <w:tcW w:type="dxa" w:w="2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monto_esperado</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NUMERIC(12,2)</w:t>
            </w:r>
          </w:p>
        </w:tc>
        <w:tc>
          <w:tcPr>
            <w:tcW w:type="dxa" w:w="51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Monto exacto para validación automática del pago.</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vence_en</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TIMESTAMPTZ</w:t>
            </w:r>
          </w:p>
        </w:tc>
        <w:tc>
          <w:tcPr>
            <w:tcW w:type="dxa" w:w="51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Fecha límite de pago.</w:t>
            </w:r>
          </w:p>
        </w:tc>
      </w:tr>
      <w:tr>
        <w:tc>
          <w:tcPr>
            <w:tcW w:type="dxa" w:w="2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estado</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VARCHAR(20)</w:t>
            </w:r>
          </w:p>
        </w:tc>
        <w:tc>
          <w:tcPr>
            <w:tcW w:type="dxa" w:w="51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Ciclo: pendiente → pagado / vencido / cancelado.</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clave_rastreo</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VARCHAR(24)</w:t>
            </w:r>
          </w:p>
        </w:tc>
        <w:tc>
          <w:tcPr>
            <w:tcW w:type="dxa" w:w="51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Clave SPEI de 24 caracteres asignada por el banco emisor.</w:t>
            </w:r>
          </w:p>
        </w:tc>
      </w:tr>
      <w:tr>
        <w:tc>
          <w:tcPr>
            <w:tcW w:type="dxa" w:w="2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webhook_data</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JSONB</w:t>
            </w:r>
          </w:p>
        </w:tc>
        <w:tc>
          <w:tcPr>
            <w:tcW w:type="dxa" w:w="51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JSON completo del webhook de confirmación.</w:t>
            </w:r>
          </w:p>
        </w:tc>
      </w:tr>
    </w:tbl>
    <w:p>
      <w:r>
        <w:t xml:space="preserve"/>
      </w:r>
    </w:p>
    <w:p>
      <w:pPr>
        <w:pStyle w:val="Heading3"/>
        <w:spacing w:after="80" w:before="180"/>
      </w:pPr>
      <w:r>
        <w:rPr>
          <w:rFonts w:ascii="Arial" w:cs="Arial" w:eastAsia="Arial" w:hAnsi="Arial"/>
          <w:b/>
          <w:bCs/>
          <w:color w:val="1B3A6B"/>
          <w:sz w:val="22"/>
          <w:szCs w:val="22"/>
        </w:rPr>
        <w:t xml:space="preserve">2.4.3 Tabla pago_paypal</w:t>
      </w:r>
    </w:p>
    <w:p>
      <w:pPr>
        <w:spacing w:after="60" w:before="60"/>
        <w:jc w:val="both"/>
      </w:pPr>
      <w:r>
        <w:rPr>
          <w:rFonts w:ascii="Arial" w:cs="Arial" w:eastAsia="Arial" w:hAnsi="Arial"/>
          <w:color w:val="1A1A1A"/>
          <w:sz w:val="20"/>
          <w:szCs w:val="20"/>
        </w:rPr>
        <w:t xml:space="preserve">Registra el ciclo completo de vida de cada transacción PayPal: creación de orden (CREATED), aprobación del cliente (APPROVED) y captura del pago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Campo clave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Tipo</w:t>
            </w:r>
          </w:p>
        </w:tc>
        <w:tc>
          <w:tcPr>
            <w:tcW w:type="dxa" w:w="4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order_id</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VARCHAR(100) UNIQUE</w:t>
            </w:r>
          </w:p>
        </w:tc>
        <w:tc>
          <w:tcPr>
            <w:tcW w:type="dxa" w:w="4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ID de la orden PayPal generado en el paso 1.</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capture_id</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VARCHAR(100)</w:t>
            </w:r>
          </w:p>
        </w:tc>
        <w:tc>
          <w:tcPr>
            <w:tcW w:type="dxa" w:w="4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ID de la captura al aprobar el pago (paso 2).</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estado</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VARCHAR(30)</w:t>
            </w:r>
          </w:p>
        </w:tc>
        <w:tc>
          <w:tcPr>
            <w:tcW w:type="dxa" w:w="4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CREATED → APPROVED → COMPLETED / VOIDED / REFUNDED.</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monto_ordenado</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NUMERIC(12,2)</w:t>
            </w:r>
          </w:p>
        </w:tc>
        <w:tc>
          <w:tcPr>
            <w:tcW w:type="dxa" w:w="4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Monto solicitado al crear la orden.</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comision_paypal</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NUMERIC(10,2)</w:t>
            </w:r>
          </w:p>
        </w:tc>
        <w:tc>
          <w:tcPr>
            <w:tcW w:type="dxa" w:w="4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Comisión cobrada por PayPal.</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monto_neto</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NUMERIC(12,2)</w:t>
            </w:r>
          </w:p>
        </w:tc>
        <w:tc>
          <w:tcPr>
            <w:tcW w:type="dxa" w:w="4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Monto neto tras restar comisión.</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url_aprobacion</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VARCHAR(500)</w:t>
            </w:r>
          </w:p>
        </w:tc>
        <w:tc>
          <w:tcPr>
            <w:tcW w:type="dxa" w:w="4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URL de redirección para aprobación del cliente en PayPal.</w:t>
            </w:r>
          </w:p>
        </w:tc>
      </w:tr>
    </w:tbl>
    <w:p>
      <w:r>
        <w:br w:type="page"/>
      </w:r>
    </w:p>
    <w:p>
      <w:pPr>
        <w:pStyle w:val="Heading3"/>
        <w:spacing w:after="80" w:before="180"/>
      </w:pPr>
      <w:r>
        <w:rPr>
          <w:rFonts w:ascii="Arial" w:cs="Arial" w:eastAsia="Arial" w:hAnsi="Arial"/>
          <w:b/>
          <w:bCs/>
          <w:color w:val="1B3A6B"/>
          <w:sz w:val="22"/>
          <w:szCs w:val="22"/>
        </w:rPr>
        <w:t xml:space="preserve">2.4.4 Tabla pago_webhooks_log</w:t>
      </w:r>
    </w:p>
    <w:p>
      <w:pPr>
        <w:spacing w:after="60" w:before="60"/>
        <w:jc w:val="both"/>
      </w:pPr>
      <w:r>
        <w:rPr>
          <w:rFonts w:ascii="Arial" w:cs="Arial" w:eastAsia="Arial" w:hAnsi="Arial"/>
          <w:color w:val="1A1A1A"/>
          <w:sz w:val="20"/>
          <w:szCs w:val="20"/>
        </w:rPr>
        <w:t xml:space="preserve">Registra todos los webhooks recibidos de cualquier proveedor de pago, incluyendo los fallidos. Permite implementar reintentos automáticos filtrando procesado =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Campo clave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Tipo</w:t>
            </w:r>
          </w:p>
        </w:tc>
        <w:tc>
          <w:tcPr>
            <w:tcW w:type="dxa" w:w="5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proveedor</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VARCHAR(30)</w:t>
            </w:r>
          </w:p>
        </w:tc>
        <w:tc>
          <w:tcPr>
            <w:tcW w:type="dxa" w:w="51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Identificador del proveedor: 'paypal', 'conekta', 'stp', 'clip'.</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evento</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VARCHAR(100)</w:t>
            </w:r>
          </w:p>
        </w:tc>
        <w:tc>
          <w:tcPr>
            <w:tcW w:type="dxa" w:w="51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Tipo de evento. Ej: 'PAYMENT.CAPTURE.COMPLETED', 'LIQUIDACION'.</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payload</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JSONB</w:t>
            </w:r>
          </w:p>
        </w:tc>
        <w:tc>
          <w:tcPr>
            <w:tcW w:type="dxa" w:w="51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Cuerpo completo del webhook recibido.</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proveedor_event_id</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VARCHAR(100)</w:t>
            </w:r>
          </w:p>
        </w:tc>
        <w:tc>
          <w:tcPr>
            <w:tcW w:type="dxa" w:w="51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ID del evento en el proveedor para deduplicación.</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procesado</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BOOLEAN</w:t>
            </w:r>
          </w:p>
        </w:tc>
        <w:tc>
          <w:tcPr>
            <w:tcW w:type="dxa" w:w="51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Indica si el webhook fue procesado exitosamente.</w:t>
            </w:r>
          </w:p>
        </w:tc>
      </w:tr>
      <w:tr>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error</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TEXT</w:t>
            </w:r>
          </w:p>
        </w:tc>
        <w:tc>
          <w:tcPr>
            <w:tcW w:type="dxa" w:w="51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Descripción del error si el procesamiento falló.</w:t>
            </w:r>
          </w:p>
        </w:tc>
      </w:tr>
    </w:tbl>
    <w:p>
      <w:r>
        <w:t xml:space="preserve"/>
      </w:r>
    </w:p>
    <w:p>
      <w:pPr>
        <w:pStyle w:val="Heading3"/>
        <w:spacing w:after="80" w:before="180"/>
      </w:pPr>
      <w:r>
        <w:rPr>
          <w:rFonts w:ascii="Arial" w:cs="Arial" w:eastAsia="Arial" w:hAnsi="Arial"/>
          <w:b/>
          <w:bCs/>
          <w:color w:val="1B3A6B"/>
          <w:sz w:val="22"/>
          <w:szCs w:val="22"/>
        </w:rPr>
        <w:t xml:space="preserve">2.4.5 Funciones del módulo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Función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Parámetros principales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Retorna</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fn_crear_referencia_spei(...)</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Genera referencia SPEI única para un pedido pendiente. Actualiza el proveedor en el pedido y devuelve los datos que el cliente necesita para transferir.</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pedido_id, clabe, banco, beneficiario, horas_vence (default 48)</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TABLE(referencia, clabe, banco, beneficiario, monto, vence_en)</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fn_confirmar_pago_spei(...)</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Procesador del webhook SPEI. Registra el evento, actualiza la referencia a 'pagado', actualiza el pedido y notifica al cliente.</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referencia, monto, clave_rastreo, banco_emisor, webhook_json</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 ('OK' o error)</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fn_crear_orden_paypal(...)</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Registra los datos iniciales de una orden PayPal antes de redirigir al cliente.</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pedido_id, order_id, url_aprobacion</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 ('OK')</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fn_confirmar_pago_paypal(...)</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Procesador del webhook PayPal. Si el estado es COMPLETED, marca el pedido como pagado y notifica al cliente.</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order_id, capture_id, estado, monto, comision, email_pagador, webhook_json</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 ('OK' o error)</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fn_vencer_referencias_spei()</w:t>
            </w:r>
          </w:p>
        </w:tc>
        <w:tc>
          <w:tcPr>
            <w:tcW w:type="dxa" w:w="2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Tarea programada que marca como 'vencido' las referencias SPEI cuya fecha de expiración ya pasó.</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Ninguno</w:t>
            </w:r>
          </w:p>
        </w:tc>
        <w:tc>
          <w:tcPr>
            <w:tcW w:type="dxa" w:w="1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INT (referencias vencidas)</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tcPr>
          <w:p>
            <w:r>
              <w:rPr>
                <w:rFonts w:ascii="Courier New" w:cs="Courier New" w:eastAsia="Courier New" w:hAnsi="Courier New"/>
                <w:color w:val="0D3B6E"/>
                <w:sz w:val="16"/>
                <w:szCs w:val="16"/>
              </w:rPr>
              <w:t xml:space="preserve">fn_estado_pago_pedido(...)</w:t>
            </w:r>
          </w:p>
        </w:tc>
        <w:tc>
          <w:tcPr>
            <w:tcW w:type="dxa" w:w="2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Consulta unificada del estado de pago de un pedido, incluyendo datos SPEI y PayPal en una sola llamada.</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pedido_id INT</w:t>
            </w:r>
          </w:p>
        </w:tc>
        <w:tc>
          <w:tcPr>
            <w:tcW w:type="dxa" w:w="1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TABLE con 16 columnas</w:t>
            </w:r>
          </w:p>
        </w:tc>
      </w:tr>
    </w:tbl>
    <w:p>
      <w:r>
        <w:br w:type="page"/>
      </w:r>
    </w:p>
    <w:p>
      <w:pPr>
        <w:pStyle w:val="Heading2"/>
        <w:spacing w:after="120" w:before="240"/>
      </w:pPr>
      <w:r>
        <w:rPr>
          <w:rFonts w:ascii="Arial" w:cs="Arial" w:eastAsia="Arial" w:hAnsi="Arial"/>
          <w:b/>
          <w:bCs/>
          <w:color w:val="2E5FA3"/>
          <w:sz w:val="26"/>
          <w:szCs w:val="26"/>
        </w:rPr>
        <w:t xml:space="preserve">2.5 Archivo 06 — Gestión de Imágenes (06_imagenes.sql)</w:t>
      </w:r>
    </w:p>
    <w:p>
      <w:pPr>
        <w:spacing w:after="60" w:before="60"/>
        <w:jc w:val="both"/>
      </w:pPr>
      <w:r>
        <w:rPr>
          <w:rFonts w:ascii="Arial" w:cs="Arial" w:eastAsia="Arial" w:hAnsi="Arial"/>
          <w:color w:val="1A1A1A"/>
          <w:sz w:val="20"/>
          <w:szCs w:val="20"/>
        </w:rPr>
        <w:t xml:space="preserve">El archivo 06_imagenes.sql no define nuevas tablas ni funciones. Su propósito es optimizar el rendimiento de las consultas sobre la tabla producto_imagenes, que fue creada en el archivo 01_schema.sql, mediante la adición de índices especializados que cubren los patrones de acceso más frecuentes del sistema.</w:t>
      </w:r>
    </w:p>
    <w:p>
      <w:pPr>
        <w:spacing w:after="60" w:before="60"/>
        <w:jc w:val="both"/>
      </w:pPr>
      <w:r>
        <w:rPr>
          <w:rFonts w:ascii="Arial" w:cs="Arial" w:eastAsia="Arial" w:hAnsi="Arial"/>
          <w:color w:val="1A1A1A"/>
          <w:sz w:val="20"/>
          <w:szCs w:val="20"/>
        </w:rPr>
        <w:t xml:space="preserve">La gestión física de los archivos de imagen (subida, almacenamiento y servicio) corre a cargo de Node.js con el middleware multer, que guarda los archivos en el sistema de archivos del servidor. La base de datos únicamente almacena la URL o ruta resultante en la columna url de la tabla producto_imagenes. Este script es por tanto el punto de contacto entre ambas capas: asegura que las consultas desde PostgreSQL hacia esas URLs sean eficientes.</w:t>
      </w:r>
    </w:p>
    <w:p>
      <w:r>
        <w:t xml:space="preserve"/>
      </w:r>
    </w:p>
    <w:p>
      <w:pPr>
        <w:pStyle w:val="Heading3"/>
        <w:spacing w:after="80" w:before="180"/>
      </w:pPr>
      <w:r>
        <w:rPr>
          <w:rFonts w:ascii="Arial" w:cs="Arial" w:eastAsia="Arial" w:hAnsi="Arial"/>
          <w:b/>
          <w:bCs/>
          <w:color w:val="1B3A6B"/>
          <w:sz w:val="22"/>
          <w:szCs w:val="22"/>
        </w:rPr>
        <w:t xml:space="preserve">2.5.1 Propósito y contexto</w:t>
      </w:r>
    </w:p>
    <w:p>
      <w:pPr>
        <w:spacing w:after="60" w:before="60"/>
        <w:jc w:val="both"/>
      </w:pPr>
      <w:r>
        <w:rPr>
          <w:rFonts w:ascii="Arial" w:cs="Arial" w:eastAsia="Arial" w:hAnsi="Arial"/>
          <w:color w:val="1A1A1A"/>
          <w:sz w:val="20"/>
          <w:szCs w:val="20"/>
        </w:rPr>
        <w:t xml:space="preserve">La tabla producto_imagenes fue diseñada para que cada producto pueda tener múltiples imágenes, de las cuales exactamente una es designada como imagen principal mediante la columna booleana es_principal = TRUE. Esta imagen principal es la que se muestra en las tarjetas del catálogo y en los resultados de búsqueda, mientras que el resto de las imágenes se consultan únicamente al acceder al detalle del producto.</w:t>
      </w:r>
    </w:p>
    <w:p>
      <w:pPr>
        <w:spacing w:after="60" w:before="60"/>
        <w:jc w:val="both"/>
      </w:pPr>
      <w:r>
        <w:rPr>
          <w:rFonts w:ascii="Arial" w:cs="Arial" w:eastAsia="Arial" w:hAnsi="Arial"/>
          <w:color w:val="1A1A1A"/>
          <w:sz w:val="20"/>
          <w:szCs w:val="20"/>
        </w:rPr>
        <w:t xml:space="preserve">Sin los índices definidos en este archivo, las consultas que filtran por producto_id y es_principal realizarían un Sequential Scan completo sobre la tabla, lo que impacta negativamente el rendimiento del catálogo conforme crece el número de productos e imágenes registradas.</w:t>
      </w:r>
    </w:p>
    <w:p>
      <w:r>
        <w:t xml:space="preserve"/>
      </w:r>
    </w:p>
    <w:p>
      <w:pPr>
        <w:pStyle w:val="Heading3"/>
        <w:spacing w:after="80" w:before="180"/>
      </w:pPr>
      <w:r>
        <w:rPr>
          <w:rFonts w:ascii="Arial" w:cs="Arial" w:eastAsia="Arial" w:hAnsi="Arial"/>
          <w:b/>
          <w:bCs/>
          <w:color w:val="1B3A6B"/>
          <w:sz w:val="22"/>
          <w:szCs w:val="22"/>
        </w:rPr>
        <w:t xml:space="preserve">2.5.2 Índices sobre producto_imagenes</w:t>
      </w:r>
    </w:p>
    <w:p>
      <w:pPr>
        <w:spacing w:after="60" w:before="60"/>
        <w:jc w:val="both"/>
      </w:pPr>
      <w:r>
        <w:rPr>
          <w:rFonts w:ascii="Arial" w:cs="Arial" w:eastAsia="Arial" w:hAnsi="Arial"/>
          <w:color w:val="1A1A1A"/>
          <w:sz w:val="20"/>
          <w:szCs w:val="20"/>
        </w:rPr>
        <w:t xml:space="preserve">Se definen dos índices usando CREATE INDEX IF NOT EXISTS, garantizando idempotencia: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400"/>
        <w:gridCol w:w="2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Nombre del índice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Columnas indexadas</w:t>
            </w:r>
          </w:p>
        </w:tc>
        <w:tc>
          <w:tcPr>
            <w:tcW w:type="dxa" w:w="1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Tipo</w:t>
            </w:r>
          </w:p>
        </w:tc>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Cláusula WHERE</w:t>
            </w:r>
          </w:p>
        </w:tc>
        <w:tc>
          <w:tcPr>
            <w:tcW w:type="dxa" w:w="25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Uso principal</w:t>
            </w:r>
          </w:p>
        </w:tc>
      </w:tr>
      <w:tr>
        <w:tc>
          <w:tcPr>
            <w:tcW w:type="dxa" w:w="2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idx_prod_imagenes_prod</w:t>
            </w:r>
          </w:p>
        </w:tc>
        <w:tc>
          <w:tcPr>
            <w:tcW w:type="dxa" w:w="18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producto_id</w:t>
            </w:r>
          </w:p>
        </w:tc>
        <w:tc>
          <w:tcPr>
            <w:tcW w:type="dxa" w:w="1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B-tree</w:t>
            </w:r>
          </w:p>
        </w:tc>
        <w:tc>
          <w:tcPr>
            <w:tcW w:type="dxa" w:w="14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w:t>
            </w:r>
          </w:p>
        </w:tc>
        <w:tc>
          <w:tcPr>
            <w:tcW w:type="dxa" w:w="2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Obtener todas las imágenes de un producto. Usado al cargar la galería en el detalle del producto.</w:t>
            </w:r>
          </w:p>
        </w:tc>
      </w:tr>
      <w:tr>
        <w:tc>
          <w:tcPr>
            <w:tcW w:type="dxa" w:w="2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idx_prod_imagenes_principal</w:t>
            </w:r>
          </w:p>
        </w:tc>
        <w:tc>
          <w:tcPr>
            <w:tcW w:type="dxa" w:w="18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producto_id, es_principal</w:t>
            </w:r>
          </w:p>
        </w:tc>
        <w:tc>
          <w:tcPr>
            <w:tcW w:type="dxa" w:w="1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B-tree parcial</w:t>
            </w:r>
          </w:p>
        </w:tc>
        <w:tc>
          <w:tcPr>
            <w:tcW w:type="dxa" w:w="14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es_principal = TRUE</w:t>
            </w:r>
          </w:p>
        </w:tc>
        <w:tc>
          <w:tcPr>
            <w:tcW w:type="dxa" w:w="25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Obtener únicamente la imagen principal. Usado en fn_listar_productos y fn_producto_detalle para el JOIN con pim.url.</w:t>
            </w:r>
          </w:p>
        </w:tc>
      </w:tr>
    </w:tbl>
    <w:p>
      <w:r>
        <w:t xml:space="preserve"/>
      </w:r>
    </w:p>
    <w:p>
      <w:pPr>
        <w:spacing w:after="60" w:before="60"/>
        <w:jc w:val="both"/>
      </w:pPr>
      <w:r>
        <w:rPr>
          <w:rFonts w:ascii="Arial" w:cs="Arial" w:eastAsia="Arial" w:hAnsi="Arial"/>
          <w:color w:val="1A1A1A"/>
          <w:sz w:val="20"/>
          <w:szCs w:val="20"/>
        </w:rPr>
        <w:t xml:space="preserve">El segundo índice es un índice parcial (partial index): al incluir la cláusula WHERE es_principal = TRUE, PostgreSQL solo indexa las filas que cumplen esa condición, reduciendo significativamente el tamaño del índice y acelerando las búsquedas que siempre incluyen ese filtro. Este es el patrón más eficiente para columnas booleanas con baja cardinalidad donde una sola variante (TRUE) es consultada con alta frecuencia.</w:t>
      </w:r>
    </w:p>
    <w:p>
      <w:pPr>
        <w:spacing w:after="60" w:before="60"/>
        <w:jc w:val="both"/>
      </w:pPr>
      <w:r>
        <w:rPr>
          <w:rFonts w:ascii="Arial" w:cs="Arial" w:eastAsia="Arial" w:hAnsi="Arial"/>
          <w:color w:val="1A1A1A"/>
          <w:sz w:val="20"/>
          <w:szCs w:val="20"/>
        </w:rPr>
        <w:t xml:space="preserve">Ambos índices deben ejecutarse después de 01_schema.sql, que es donde se define la tabla. El script puede ejecutarse en cualquier momento posterior sin riesgo, ya que IF NOT EXISTS previene errores si los índices ya existen.</w:t>
      </w:r>
    </w:p>
    <w:p>
      <w:r>
        <w:br w:type="page"/>
      </w:r>
    </w:p>
    <w:p>
      <w:pPr>
        <w:pStyle w:val="Heading2"/>
        <w:spacing w:after="120" w:before="240"/>
      </w:pPr>
      <w:r>
        <w:rPr>
          <w:rFonts w:ascii="Arial" w:cs="Arial" w:eastAsia="Arial" w:hAnsi="Arial"/>
          <w:b/>
          <w:bCs/>
          <w:color w:val="2E5FA3"/>
          <w:sz w:val="26"/>
          <w:szCs w:val="26"/>
        </w:rPr>
        <w:t xml:space="preserve">2.6 Archivo 07 — Contacto y Seguridad (07_contacto.sql)</w:t>
      </w:r>
    </w:p>
    <w:p>
      <w:pPr>
        <w:spacing w:after="60" w:before="60"/>
        <w:jc w:val="both"/>
      </w:pPr>
      <w:r>
        <w:rPr>
          <w:rFonts w:ascii="Arial" w:cs="Arial" w:eastAsia="Arial" w:hAnsi="Arial"/>
          <w:color w:val="1A1A1A"/>
          <w:sz w:val="20"/>
          <w:szCs w:val="20"/>
        </w:rPr>
        <w:t xml:space="preserve">El archivo 07_contacto.sql incorpora dos tablas independientes que cubren funcionalidades del sitio web orientadas al usuario final: la recepción de mensajes del formulario de contacto y el mecanismo seguro de recuperación de contraseñas por token temporal. Ambas tablas son creadas con IF NOT EXISTS para garantizar idempotencia.</w:t>
      </w:r>
    </w:p>
    <w:p>
      <w:r>
        <w:t xml:space="preserve"/>
      </w:r>
    </w:p>
    <w:p>
      <w:pPr>
        <w:pStyle w:val="Heading3"/>
        <w:spacing w:after="80" w:before="180"/>
      </w:pPr>
      <w:r>
        <w:rPr>
          <w:rFonts w:ascii="Arial" w:cs="Arial" w:eastAsia="Arial" w:hAnsi="Arial"/>
          <w:b/>
          <w:bCs/>
          <w:color w:val="1B3A6B"/>
          <w:sz w:val="22"/>
          <w:szCs w:val="22"/>
        </w:rPr>
        <w:t xml:space="preserve">2.6.1 Tabla mensajes_contacto</w:t>
      </w:r>
    </w:p>
    <w:p>
      <w:pPr>
        <w:spacing w:after="60" w:before="60"/>
        <w:jc w:val="both"/>
      </w:pPr>
      <w:r>
        <w:rPr>
          <w:rFonts w:ascii="Arial" w:cs="Arial" w:eastAsia="Arial" w:hAnsi="Arial"/>
          <w:color w:val="1A1A1A"/>
          <w:sz w:val="20"/>
          <w:szCs w:val="20"/>
        </w:rPr>
        <w:t xml:space="preserve">Almacena los mensajes enviados por visitantes o clientes a través del formulario de contacto del sitio web. Esta tabla sirve como bandeja de entrada para el equipo de ventas y soporte de MBS Comunicaciones, permitiendo gestionar consultas desde el panel de administración sin depender exclusivamente del correo electrónico.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Columna</w:t>
            </w:r>
          </w:p>
        </w:tc>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Tipo</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Restricciones</w:t>
            </w:r>
          </w:p>
        </w:tc>
        <w:tc>
          <w:tcPr>
            <w:tcW w:type="dxa" w:w="3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id</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SERIAL</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PRIMARY KEY</w:t>
            </w:r>
          </w:p>
        </w:tc>
        <w:tc>
          <w:tcPr>
            <w:tcW w:type="dxa" w:w="3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Identificador único del mensaje.</w:t>
            </w:r>
          </w:p>
        </w:tc>
      </w:tr>
      <w:tr>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nombre</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VARCHAR(120)</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 NULL</w:t>
            </w:r>
          </w:p>
        </w:tc>
        <w:tc>
          <w:tcPr>
            <w:tcW w:type="dxa" w:w="3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Nombre del remitente.</w:t>
            </w:r>
          </w:p>
        </w:tc>
      </w:tr>
      <w:tr>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empresa</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VARCHAR(120)</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NULL permitido</w:t>
            </w:r>
          </w:p>
        </w:tc>
        <w:tc>
          <w:tcPr>
            <w:tcW w:type="dxa" w:w="3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Nombre de la empresa. Opcional, relevante para contexto B2B.</w:t>
            </w:r>
          </w:p>
        </w:tc>
      </w:tr>
      <w:tr>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email</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VARCHAR(200)</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 NULL</w:t>
            </w:r>
          </w:p>
        </w:tc>
        <w:tc>
          <w:tcPr>
            <w:tcW w:type="dxa" w:w="3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Correo electrónico de contacto para respuesta.</w:t>
            </w:r>
          </w:p>
        </w:tc>
      </w:tr>
      <w:tr>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telefono</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VARCHAR(30)</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NULL permitido</w:t>
            </w:r>
          </w:p>
        </w:tc>
        <w:tc>
          <w:tcPr>
            <w:tcW w:type="dxa" w:w="3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Teléfono de contacto. Opcional.</w:t>
            </w:r>
          </w:p>
        </w:tc>
      </w:tr>
      <w:tr>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asunto</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VARCHAR(60)</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 NULL</w:t>
            </w:r>
          </w:p>
        </w:tc>
        <w:tc>
          <w:tcPr>
            <w:tcW w:type="dxa" w:w="3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Asunto o motivo del mensaje.</w:t>
            </w:r>
          </w:p>
        </w:tc>
      </w:tr>
      <w:tr>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mensaje</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TEXT</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NOT NULL</w:t>
            </w:r>
          </w:p>
        </w:tc>
        <w:tc>
          <w:tcPr>
            <w:tcW w:type="dxa" w:w="3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Cuerpo completo del mensaje enviado.</w:t>
            </w:r>
          </w:p>
        </w:tc>
      </w:tr>
      <w:tr>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leido</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BOOLEAN</w:t>
            </w:r>
          </w:p>
        </w:tc>
        <w:tc>
          <w:tcPr>
            <w:tcW w:type="dxa" w:w="22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 NULL, DEFAULT FALSE</w:t>
            </w:r>
          </w:p>
        </w:tc>
        <w:tc>
          <w:tcPr>
            <w:tcW w:type="dxa" w:w="39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Indicador de lectura. Permite filtrar mensajes no atendidos en el panel admin.</w:t>
            </w:r>
          </w:p>
        </w:tc>
      </w:tr>
      <w:tr>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created_at</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TIMESTAMPTZ</w:t>
            </w:r>
          </w:p>
        </w:tc>
        <w:tc>
          <w:tcPr>
            <w:tcW w:type="dxa" w:w="22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NOT NULL, DEFAULT NOW()</w:t>
            </w:r>
          </w:p>
        </w:tc>
        <w:tc>
          <w:tcPr>
            <w:tcW w:type="dxa" w:w="39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Fecha y hora de recepción del mensaje.</w:t>
            </w:r>
          </w:p>
        </w:tc>
      </w:tr>
    </w:tbl>
    <w:p>
      <w:r>
        <w:t xml:space="preserve"/>
      </w:r>
    </w:p>
    <w:p>
      <w:pPr>
        <w:spacing w:after="60" w:before="60"/>
        <w:jc w:val="both"/>
      </w:pPr>
      <w:r>
        <w:rPr>
          <w:rFonts w:ascii="Arial" w:cs="Arial" w:eastAsia="Arial" w:hAnsi="Arial"/>
          <w:color w:val="1A1A1A"/>
          <w:sz w:val="20"/>
          <w:szCs w:val="20"/>
        </w:rPr>
        <w:t xml:space="preserve">El campo empresa es opcional y tiene especial relevancia en el contexto B2B de MBS Comunicaciones, ya que permite identificar si el mensaje proviene de una empresa instaladora, integradora de redes u otro tipo de cliente corporativo, orientando la prioridad y tipo de respuesta del equipo de ventas.</w:t>
      </w:r>
    </w:p>
    <w:p>
      <w:pPr>
        <w:spacing w:after="60" w:before="60"/>
        <w:jc w:val="both"/>
      </w:pPr>
      <w:r>
        <w:rPr>
          <w:rFonts w:ascii="Arial" w:cs="Arial" w:eastAsia="Arial" w:hAnsi="Arial"/>
          <w:color w:val="1A1A1A"/>
          <w:sz w:val="20"/>
          <w:szCs w:val="20"/>
        </w:rPr>
        <w:t xml:space="preserve">El campo leido permite implementar en el panel de administración una vista de mensajes sin leer (WHERE leido = FALSE), similar a una bandeja de correo, sin necesidad de eliminar los mensajes procesados. El historial queda preservado para consulta futura.</w:t>
      </w:r>
    </w:p>
    <w:p>
      <w:r>
        <w:t xml:space="preserve"/>
      </w:r>
    </w:p>
    <w:p>
      <w:pPr>
        <w:pStyle w:val="Heading3"/>
        <w:spacing w:after="80" w:before="180"/>
      </w:pPr>
      <w:r>
        <w:rPr>
          <w:rFonts w:ascii="Arial" w:cs="Arial" w:eastAsia="Arial" w:hAnsi="Arial"/>
          <w:b/>
          <w:bCs/>
          <w:color w:val="1B3A6B"/>
          <w:sz w:val="22"/>
          <w:szCs w:val="22"/>
        </w:rPr>
        <w:t xml:space="preserve">2.6.2 Tabla password_resets</w:t>
      </w:r>
    </w:p>
    <w:p>
      <w:pPr>
        <w:spacing w:after="60" w:before="60"/>
        <w:jc w:val="both"/>
      </w:pPr>
      <w:r>
        <w:rPr>
          <w:rFonts w:ascii="Arial" w:cs="Arial" w:eastAsia="Arial" w:hAnsi="Arial"/>
          <w:color w:val="1A1A1A"/>
          <w:sz w:val="20"/>
          <w:szCs w:val="20"/>
        </w:rPr>
        <w:t xml:space="preserve">Implementa el mecanismo estándar de recuperación de contraseñas por token temporal. Cuando un usuario solicita restablecer su contraseña, el backend genera un token aleatorio criptográficamente seguro, lo almacena en esta tabla con una fecha de expiración, y envía al usuario un correo con un enlace que contiene ese token. Al hacer clic en el enlace, el backend valida el token antes de permitir el cambio de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35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Columna</w:t>
            </w:r>
          </w:p>
        </w:tc>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Tipo</w:t>
            </w:r>
          </w:p>
        </w:tc>
        <w:tc>
          <w:tcPr>
            <w:tcW w:type="dxa" w:w="2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Restricciones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id</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SERIAL</w:t>
            </w:r>
          </w:p>
        </w:tc>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PRIMARY KEY</w:t>
            </w:r>
          </w:p>
        </w:tc>
        <w:tc>
          <w:tcPr>
            <w:tcW w:type="dxa" w:w="3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Identificador único del registro.</w:t>
            </w:r>
          </w:p>
        </w:tc>
      </w:tr>
      <w:tr>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usuario_id</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INT</w:t>
            </w:r>
          </w:p>
        </w:tc>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 NULL, UNIQUE, FK → usuarios(id) ON DELETE CASCADE</w:t>
            </w:r>
          </w:p>
        </w:tc>
        <w:tc>
          <w:tcPr>
            <w:tcW w:type="dxa" w:w="35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Referencia al usuario que solicitó el restablecimiento. UNIQUE garantiza que solo exista un token activo por usuario a la vez.</w:t>
            </w:r>
          </w:p>
        </w:tc>
      </w:tr>
      <w:tr>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token</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VARCHAR(64)</w:t>
            </w:r>
          </w:p>
        </w:tc>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NOT NULL</w:t>
            </w:r>
          </w:p>
        </w:tc>
        <w:tc>
          <w:tcPr>
            <w:tcW w:type="dxa" w:w="3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Token aleatorio de 64 caracteres (recomendado: generado con crypto.randomBytes en Node.js).</w:t>
            </w:r>
          </w:p>
        </w:tc>
      </w:tr>
      <w:tr>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expira_at</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TIMESTAMPTZ</w:t>
            </w:r>
          </w:p>
        </w:tc>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 NULL</w:t>
            </w:r>
          </w:p>
        </w:tc>
        <w:tc>
          <w:tcPr>
            <w:tcW w:type="dxa" w:w="35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Marca temporal de expiración del token. El backend debe validar que NOW() &lt; expira_at antes de aceptar el cambio.</w:t>
            </w:r>
          </w:p>
        </w:tc>
      </w:tr>
      <w:tr>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usado</w:t>
            </w:r>
          </w:p>
        </w:tc>
        <w:tc>
          <w:tcPr>
            <w:tcW w:type="dxa" w:w="1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BOOLEAN</w:t>
            </w:r>
          </w:p>
        </w:tc>
        <w:tc>
          <w:tcPr>
            <w:tcW w:type="dxa" w:w="260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NOT NULL, DEFAULT FALSE</w:t>
            </w:r>
          </w:p>
        </w:tc>
        <w:tc>
          <w:tcPr>
            <w:tcW w:type="dxa" w:w="3560"/>
            <w:tcBorders>
              <w:top w:val="single" w:color="C0C8D8" w:sz="1"/>
              <w:left w:val="single" w:color="C0C8D8" w:sz="1"/>
              <w:bottom w:val="single" w:color="C0C8D8" w:sz="1"/>
              <w:right w:val="single" w:color="C0C8D8" w:sz="1"/>
            </w:tcBorders>
            <w:shd w:fill="FFFFFF" w:val="clear"/>
            <w:tcMar>
              <w:top w:type="dxa" w:w="60"/>
              <w:left w:type="dxa" w:w="140"/>
              <w:bottom w:type="dxa" w:w="60"/>
              <w:right w:type="dxa" w:w="140"/>
            </w:tcMar>
            <w:vAlign w:val="center"/>
          </w:tcPr>
          <w:p>
            <w:r>
              <w:rPr>
                <w:rFonts w:ascii="Arial" w:cs="Arial" w:eastAsia="Arial" w:hAnsi="Arial"/>
                <w:color w:val="1A1A1A"/>
                <w:sz w:val="18"/>
                <w:szCs w:val="18"/>
              </w:rPr>
              <w:t xml:space="preserve">Indica si el token ya fue utilizado. Previene reutilización del mismo enlace aunque no haya expirado.</w:t>
            </w:r>
          </w:p>
        </w:tc>
      </w:tr>
      <w:tr>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created_at</w:t>
            </w:r>
          </w:p>
        </w:tc>
        <w:tc>
          <w:tcPr>
            <w:tcW w:type="dxa" w:w="1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TIMESTAMPTZ</w:t>
            </w:r>
          </w:p>
        </w:tc>
        <w:tc>
          <w:tcPr>
            <w:tcW w:type="dxa" w:w="260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NOT NULL, DEFAULT NOW()</w:t>
            </w:r>
          </w:p>
        </w:tc>
        <w:tc>
          <w:tcPr>
            <w:tcW w:type="dxa" w:w="3560"/>
            <w:tcBorders>
              <w:top w:val="single" w:color="C0C8D8" w:sz="1"/>
              <w:left w:val="single" w:color="C0C8D8" w:sz="1"/>
              <w:bottom w:val="single" w:color="C0C8D8" w:sz="1"/>
              <w:right w:val="single" w:color="C0C8D8" w:sz="1"/>
            </w:tcBorders>
            <w:shd w:fill="F2F5FA" w:val="clear"/>
            <w:tcMar>
              <w:top w:type="dxa" w:w="60"/>
              <w:left w:type="dxa" w:w="140"/>
              <w:bottom w:type="dxa" w:w="60"/>
              <w:right w:type="dxa" w:w="140"/>
            </w:tcMar>
            <w:vAlign w:val="center"/>
          </w:tcPr>
          <w:p>
            <w:r>
              <w:rPr>
                <w:rFonts w:ascii="Arial" w:cs="Arial" w:eastAsia="Arial" w:hAnsi="Arial"/>
                <w:color w:val="1A1A1A"/>
                <w:sz w:val="18"/>
                <w:szCs w:val="18"/>
              </w:rPr>
              <w:t xml:space="preserve">Fecha de solicitud del restablecimiento.</w:t>
            </w:r>
          </w:p>
        </w:tc>
      </w:tr>
    </w:tbl>
    <w:p>
      <w:r>
        <w:t xml:space="preserve"/>
      </w:r>
    </w:p>
    <w:p>
      <w:pPr>
        <w:spacing w:after="60" w:before="60"/>
        <w:jc w:val="both"/>
      </w:pPr>
      <w:r>
        <w:rPr>
          <w:rFonts w:ascii="Arial" w:cs="Arial" w:eastAsia="Arial" w:hAnsi="Arial"/>
          <w:color w:val="1A1A1A"/>
          <w:sz w:val="20"/>
          <w:szCs w:val="20"/>
        </w:rPr>
        <w:t xml:space="preserve">La restricción UNIQUE en usuario_id es un diseño deliberado que garantiza que en cualquier momento solo exista un token activo por usuario. Cuando el usuario solicita un nuevo restablecimiento (porque el anterior expiró o no lo usó), el backend debe hacer un INSERT ... ON CONFLICT (usuario_id) DO UPDATE para reemplazar el token anterior, evitando múltiples tokens válidos simultáneos para el mismo usuario.</w:t>
      </w:r>
    </w:p>
    <w:p>
      <w:pPr>
        <w:spacing w:after="60" w:before="60"/>
        <w:jc w:val="both"/>
      </w:pPr>
      <w:r>
        <w:rPr>
          <w:rFonts w:ascii="Arial" w:cs="Arial" w:eastAsia="Arial" w:hAnsi="Arial"/>
          <w:color w:val="1A1A1A"/>
          <w:sz w:val="20"/>
          <w:szCs w:val="20"/>
        </w:rPr>
        <w:t xml:space="preserve">La cláusula ON DELETE CASCADE en la clave foránea hacia usuarios asegura que si un usuario es eliminado del sistema, su registro de recuperación de contraseña también se elimina automáticamente, evitando registros huérfanos en la tabla.</w:t>
      </w:r>
    </w:p>
    <w:p>
      <w:pPr>
        <w:spacing w:after="60" w:before="60"/>
        <w:jc w:val="both"/>
      </w:pPr>
      <w:r>
        <w:rPr>
          <w:rFonts w:ascii="Arial" w:cs="Arial" w:eastAsia="Arial" w:hAnsi="Arial"/>
          <w:color w:val="1A1A1A"/>
          <w:sz w:val="20"/>
          <w:szCs w:val="20"/>
        </w:rPr>
        <w:t xml:space="preserve">La combinación de los campos expira_at y usado implementa una doble capa de seguridad: el token expira por tiempo (recomendado: 1 a 24 horas según la política de seguridad del sistema) y además se invalida inmediatamente después de su primer uso, previniendo ataques de repetición incluso dentro del periodo de vigencia.</w:t>
      </w:r>
    </w:p>
    <w:p>
      <w:r>
        <w:br w:type="page"/>
      </w:r>
    </w:p>
    <w:p>
      <w:pPr>
        <w:pStyle w:val="Heading1"/>
      </w:pPr>
      <w:r>
        <w:rPr>
          <w:rFonts w:ascii="Arial" w:cs="Arial" w:eastAsia="Arial" w:hAnsi="Arial"/>
          <w:b/>
          <w:bCs/>
          <w:color w:val="1B3A6B"/>
          <w:sz w:val="32"/>
          <w:szCs w:val="32"/>
        </w:rPr>
        <w:t xml:space="preserve">3. Conclusiones</w:t>
      </w:r>
    </w:p>
    <w:p>
      <w:pPr>
        <w:pBdr>
          <w:bottom w:val="single" w:color="2E5FA3" w:sz="4" w:space="1"/>
        </w:pBdr>
      </w:pPr>
      <w:r>
        <w:t xml:space="preserve"/>
      </w:r>
    </w:p>
    <w:p>
      <w:r>
        <w:t xml:space="preserve"/>
      </w:r>
    </w:p>
    <w:p>
      <w:pPr>
        <w:spacing w:after="60" w:before="60"/>
        <w:jc w:val="both"/>
      </w:pPr>
      <w:r>
        <w:rPr>
          <w:rFonts w:ascii="Arial" w:cs="Arial" w:eastAsia="Arial" w:hAnsi="Arial"/>
          <w:color w:val="1A1A1A"/>
          <w:sz w:val="20"/>
          <w:szCs w:val="20"/>
        </w:rPr>
        <w:t xml:space="preserve">El análisis y documentación de los seis scripts SQL del sistema MBS Comunicaciones permite concluir que la base de datos está diseñada con un enfoque profesional, modular y orientado a la escalabilidad de un e-commerce B2B especializado. La incorporación de los archivos 06 y 07 consolida el esquema y cierra los módulos de soporte al usuario y optimización de rendimiento. A continuación se presentan las conclusiones derivadas del proceso de documentación completo:</w:t>
      </w:r>
    </w:p>
    <w:p>
      <w:r>
        <w:t xml:space="preserve"/>
      </w:r>
    </w:p>
    <w:p>
      <w:pPr>
        <w:spacing w:after="40" w:before="40"/>
      </w:pPr>
      <w:r>
        <w:rPr>
          <w:rFonts w:ascii="Arial" w:cs="Arial" w:eastAsia="Arial" w:hAnsi="Arial"/>
          <w:b/>
          <w:bCs/>
          <w:color w:val="1B3A6B"/>
          <w:sz w:val="20"/>
          <w:szCs w:val="20"/>
        </w:rPr>
        <w:t xml:space="preserve">Arquitectura modular y coherente: </w:t>
      </w:r>
      <w:r>
        <w:rPr>
          <w:rFonts w:ascii="Arial" w:cs="Arial" w:eastAsia="Arial" w:hAnsi="Arial"/>
          <w:color w:val="1A1A1A"/>
          <w:sz w:val="20"/>
          <w:szCs w:val="20"/>
        </w:rPr>
        <w:t xml:space="preserve">Los seis archivos SQL presentan una separación clara de responsabilidades. El archivo 00 gestiona el ciclo de actualización, el 02 concentra la lógica de negocio, el 03 provee un estado inicial funcional, el 05 extiende el sistema con pagos reales, el 06 optimiza el acceso a imágenes y el 07 agrega canales de comunicación con el usuario. Esta estructura facilita el despliegue incremental y el mantenimiento independiente de cada módulo.</w:t>
      </w:r>
    </w:p>
    <w:p>
      <w:pPr>
        <w:spacing w:after="40" w:before="40"/>
      </w:pPr>
      <w:r>
        <w:rPr>
          <w:rFonts w:ascii="Arial" w:cs="Arial" w:eastAsia="Arial" w:hAnsi="Arial"/>
          <w:b/>
          <w:bCs/>
          <w:color w:val="1B3A6B"/>
          <w:sz w:val="20"/>
          <w:szCs w:val="20"/>
        </w:rPr>
        <w:t xml:space="preserve">Optimización de rendimiento con índices especializados: </w:t>
      </w:r>
      <w:r>
        <w:rPr>
          <w:rFonts w:ascii="Arial" w:cs="Arial" w:eastAsia="Arial" w:hAnsi="Arial"/>
          <w:color w:val="1A1A1A"/>
          <w:sz w:val="20"/>
          <w:szCs w:val="20"/>
        </w:rPr>
        <w:t xml:space="preserve">El archivo 06 demuestra una práctica avanzada de diseño de bases de datos al separar la creación de índices en su propio script. En particular, el índice parcial idx_prod_imagenes_principal (WHERE es_principal = TRUE) es una optimización eficiente para el patrón de consulta más frecuente del catálogo, reduciendo el tamaño del índice a solo las filas relevantes y acelerando los JOIN en fn_listar_productos y fn_producto_detalle.</w:t>
      </w:r>
    </w:p>
    <w:p>
      <w:pPr>
        <w:spacing w:after="40" w:before="40"/>
      </w:pPr>
      <w:r>
        <w:rPr>
          <w:rFonts w:ascii="Arial" w:cs="Arial" w:eastAsia="Arial" w:hAnsi="Arial"/>
          <w:b/>
          <w:bCs/>
          <w:color w:val="1B3A6B"/>
          <w:sz w:val="20"/>
          <w:szCs w:val="20"/>
        </w:rPr>
        <w:t xml:space="preserve">Seguridad en la recuperación de contraseñas: </w:t>
      </w:r>
      <w:r>
        <w:rPr>
          <w:rFonts w:ascii="Arial" w:cs="Arial" w:eastAsia="Arial" w:hAnsi="Arial"/>
          <w:color w:val="1A1A1A"/>
          <w:sz w:val="20"/>
          <w:szCs w:val="20"/>
        </w:rPr>
        <w:t xml:space="preserve">La tabla password_resets implementa correctamente el patrón de token temporal con doble invalidación: por tiempo (expira_at) y por uso (campo usado). La restricción UNIQUE en usuario_id previene la proliferación de tokens activos por usuario, y la clave foránea con ON DELETE CASCADE mantiene la integridad referencial ante eliminaciones de usuarios.</w:t>
      </w:r>
    </w:p>
    <w:p>
      <w:pPr>
        <w:spacing w:after="40" w:before="40"/>
      </w:pPr>
      <w:r>
        <w:rPr>
          <w:rFonts w:ascii="Arial" w:cs="Arial" w:eastAsia="Arial" w:hAnsi="Arial"/>
          <w:b/>
          <w:bCs/>
          <w:color w:val="1B3A6B"/>
          <w:sz w:val="20"/>
          <w:szCs w:val="20"/>
        </w:rPr>
        <w:t xml:space="preserve">Soporte completo al ciclo de comunicación B2B: </w:t>
      </w:r>
      <w:r>
        <w:rPr>
          <w:rFonts w:ascii="Arial" w:cs="Arial" w:eastAsia="Arial" w:hAnsi="Arial"/>
          <w:color w:val="1A1A1A"/>
          <w:sz w:val="20"/>
          <w:szCs w:val="20"/>
        </w:rPr>
        <w:t xml:space="preserve">La tabla mensajes_contacto cierra el ciclo de comunicación del sitio. El campo empresa agrega contexto B2B relevante para priorizar respuestas, y el campo leido permite gestionar la bandeja de mensajes sin eliminar el historial. Esto es coherente con la naturaleza del negocio, donde las consultas de clientes corporativos tienen alto valor comercial.</w:t>
      </w:r>
    </w:p>
    <w:p>
      <w:pPr>
        <w:spacing w:after="40" w:before="40"/>
      </w:pPr>
      <w:r>
        <w:rPr>
          <w:rFonts w:ascii="Arial" w:cs="Arial" w:eastAsia="Arial" w:hAnsi="Arial"/>
          <w:b/>
          <w:bCs/>
          <w:color w:val="1B3A6B"/>
          <w:sz w:val="20"/>
          <w:szCs w:val="20"/>
        </w:rPr>
        <w:t xml:space="preserve">Lógica encapsulada y trazabilidad completa: </w:t>
      </w:r>
      <w:r>
        <w:rPr>
          <w:rFonts w:ascii="Arial" w:cs="Arial" w:eastAsia="Arial" w:hAnsi="Arial"/>
          <w:color w:val="1A1A1A"/>
          <w:sz w:val="20"/>
          <w:szCs w:val="20"/>
        </w:rPr>
        <w:t xml:space="preserve">El sistema mantiene dos niveles de trazabilidad: la tabla auditoria para acciones administrativas y la tabla pago_webhooks_log para eventos de pago externos. Todas las funciones críticas de escritura generan registros de auditoría, garantizando la capacidad de conciliación y resolución de disputas.</w:t>
      </w:r>
    </w:p>
    <w:p>
      <w:pPr>
        <w:spacing w:after="40" w:before="40"/>
      </w:pPr>
      <w:r>
        <w:rPr>
          <w:rFonts w:ascii="Arial" w:cs="Arial" w:eastAsia="Arial" w:hAnsi="Arial"/>
          <w:b/>
          <w:bCs/>
          <w:color w:val="1B3A6B"/>
          <w:sz w:val="20"/>
          <w:szCs w:val="20"/>
        </w:rPr>
        <w:t xml:space="preserve">Idempotencia en todos los scripts: </w:t>
      </w:r>
      <w:r>
        <w:rPr>
          <w:rFonts w:ascii="Arial" w:cs="Arial" w:eastAsia="Arial" w:hAnsi="Arial"/>
          <w:color w:val="1A1A1A"/>
          <w:sz w:val="20"/>
          <w:szCs w:val="20"/>
        </w:rPr>
        <w:t xml:space="preserve">El uso consistente de CREATE OR REPLACE, ON CONFLICT DO NOTHING, IF NOT EXISTS y DROP IF EXISTS convierte todos los scripts en operaciones seguras para entornos de CI/CD donde los scripts de migración pueden ejecutarse múltiples veces.</w:t>
      </w:r>
    </w:p>
    <w:p>
      <w:pPr>
        <w:spacing w:after="40" w:before="40"/>
      </w:pPr>
      <w:r>
        <w:rPr>
          <w:rFonts w:ascii="Arial" w:cs="Arial" w:eastAsia="Arial" w:hAnsi="Arial"/>
          <w:b/>
          <w:bCs/>
          <w:color w:val="1B3A6B"/>
          <w:sz w:val="20"/>
          <w:szCs w:val="20"/>
        </w:rPr>
        <w:t xml:space="preserve">Recomendaciones finales para producción: </w:t>
      </w:r>
      <w:r>
        <w:rPr>
          <w:rFonts w:ascii="Arial" w:cs="Arial" w:eastAsia="Arial" w:hAnsi="Arial"/>
          <w:color w:val="1A1A1A"/>
          <w:sz w:val="20"/>
          <w:szCs w:val="20"/>
        </w:rPr>
        <w:t xml:space="preserve">Antes del despliegue se recomienda: (1) reemplazar los hashes de contraseña placeholder del seed data, (2) completar credenciales de PayPal y SPEI en la tabla configuracion, (3) configurar pg_cron para fn_vencer_referencias_spei, (4) implementar las funciones pendientes de cotizaciones y blog, (5) establecer una política de expiración de tokens en password_resets (recomendado: 2 a 24 horas), y (6) agregar un índice sobre mensajes_contacto(leido) si el volumen de mensajes crece significativamente.</w:t>
      </w:r>
    </w:p>
    <w:p>
      <w:r>
        <w:t xml:space="preserve"/>
      </w:r>
    </w:p>
    <w:p>
      <w:r>
        <w:t xml:space="preserve"/>
      </w:r>
    </w:p>
    <w:p>
      <w:pPr>
        <w:pBdr>
          <w:top w:val="single" w:color="2E5FA3" w:sz="4" w:space="4"/>
        </w:pBdr>
        <w:spacing w:before="400"/>
        <w:jc w:val="center"/>
      </w:pPr>
      <w:r>
        <w:rPr>
          <w:rFonts w:ascii="Arial" w:cs="Arial" w:eastAsia="Arial" w:hAnsi="Arial"/>
          <w:i/>
          <w:iCs/>
          <w:color w:val="888888"/>
          <w:sz w:val="18"/>
          <w:szCs w:val="18"/>
        </w:rPr>
        <w:t xml:space="preserve">— Fin del documento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2" w:space="1"/>
      </w:pBdr>
      <w:tabs>
        <w:tab w:val="right" w:pos="9026"/>
      </w:tabs>
    </w:pPr>
    <w:r>
      <w:rPr>
        <w:rFonts w:ascii="Arial" w:cs="Arial" w:eastAsia="Arial" w:hAnsi="Arial"/>
        <w:color w:val="888888"/>
        <w:sz w:val="16"/>
        <w:szCs w:val="16"/>
      </w:rPr>
      <w:t xml:space="preserve">MBS Comunicaciones  |  Documentación BD</w:t>
    </w:r>
    <w:r>
      <w:rPr>
        <w:rFonts w:ascii="Arial" w:cs="Arial" w:eastAsia="Arial" w:hAnsi="Arial"/>
      </w:rPr>
      <w:t xml:space="preserve">	</w:t>
    </w:r>
    <w:r>
      <w:rPr>
        <w:rFonts w:ascii="Arial" w:cs="Arial" w:eastAsia="Arial" w:hAnsi="Arial"/>
        <w:color w:val="888888"/>
        <w:sz w:val="16"/>
        <w:szCs w:val="16"/>
      </w:rPr>
      <w:t xml:space="preserve">Página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026"/>
      </w:tabs>
    </w:pPr>
    <w:r>
      <w:rPr>
        <w:rFonts w:ascii="Arial" w:cs="Arial" w:eastAsia="Arial" w:hAnsi="Arial"/>
        <w:color w:val="666666"/>
        <w:sz w:val="18"/>
        <w:szCs w:val="18"/>
      </w:rPr>
      <w:t xml:space="preserve">MBS Comunicaciones — Documentación Técnica BD</w:t>
    </w:r>
    <w:r>
      <w:rPr>
        <w:rFonts w:ascii="Arial" w:cs="Arial" w:eastAsia="Arial" w:hAnsi="Arial"/>
      </w:rPr>
      <w:t xml:space="preserve">	</w:t>
    </w:r>
    <w:r>
      <w:rPr>
        <w:rFonts w:ascii="Arial" w:cs="Arial" w:eastAsia="Arial" w:hAnsi="Arial"/>
        <w:color w:val="888888"/>
        <w:sz w:val="18"/>
        <w:szCs w:val="18"/>
      </w:rPr>
      <w:t xml:space="preserve">SQL Scripts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2026-06-10T04:23:06.196Z</dcterms:created>
  <dcterms:modified xsi:type="dcterms:W3CDTF">2026-06-10T04:23:06.211Z</dcterms:modified>
</cp:coreProperties>
</file>

<file path=docProps/custom.xml><?xml version="1.0" encoding="utf-8"?>
<Properties xmlns="http://schemas.openxmlformats.org/officeDocument/2006/custom-properties" xmlns:vt="http://schemas.openxmlformats.org/officeDocument/2006/docPropsVTypes"/>
</file>