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BF" w:rsidRDefault="005248BF" w:rsidP="007222AE">
      <w:pPr>
        <w:rPr>
          <w:rFonts w:cs="Arial"/>
          <w:b/>
          <w:sz w:val="20"/>
          <w:szCs w:val="24"/>
        </w:rPr>
      </w:pPr>
    </w:p>
    <w:p w:rsidR="005248BF" w:rsidRPr="005248BF" w:rsidRDefault="005248BF" w:rsidP="005248BF">
      <w:pPr>
        <w:rPr>
          <w:rFonts w:cs="Arial"/>
          <w:b/>
          <w:sz w:val="20"/>
          <w:szCs w:val="24"/>
        </w:rPr>
      </w:pPr>
    </w:p>
    <w:p w:rsidR="005248BF" w:rsidRDefault="005248BF" w:rsidP="005248BF">
      <w:pPr>
        <w:pStyle w:val="Prrafodelista"/>
        <w:ind w:left="360"/>
        <w:jc w:val="center"/>
        <w:rPr>
          <w:rFonts w:cs="Arial"/>
          <w:b/>
          <w:sz w:val="20"/>
          <w:szCs w:val="24"/>
        </w:rPr>
      </w:pPr>
      <w:r>
        <w:rPr>
          <w:rFonts w:cs="Arial"/>
          <w:b/>
          <w:sz w:val="20"/>
          <w:szCs w:val="24"/>
        </w:rPr>
        <w:t>INVENTARIO MIGRACIÓN</w:t>
      </w:r>
    </w:p>
    <w:p w:rsidR="005248BF" w:rsidRDefault="005248BF" w:rsidP="005248BF">
      <w:pPr>
        <w:pStyle w:val="Prrafodelista"/>
        <w:ind w:left="360"/>
        <w:jc w:val="center"/>
        <w:rPr>
          <w:rFonts w:cs="Arial"/>
          <w:b/>
          <w:sz w:val="20"/>
          <w:szCs w:val="24"/>
        </w:rPr>
      </w:pPr>
    </w:p>
    <w:p w:rsidR="005248BF" w:rsidRDefault="005248BF" w:rsidP="005248BF">
      <w:pPr>
        <w:pStyle w:val="Prrafodelista"/>
        <w:ind w:left="360"/>
        <w:jc w:val="center"/>
        <w:rPr>
          <w:rFonts w:cs="Arial"/>
          <w:b/>
          <w:sz w:val="20"/>
          <w:szCs w:val="24"/>
        </w:rPr>
      </w:pPr>
    </w:p>
    <w:p w:rsidR="005248BF" w:rsidRDefault="005248BF" w:rsidP="005248BF">
      <w:pPr>
        <w:pStyle w:val="Prrafodelista"/>
        <w:ind w:left="0"/>
        <w:jc w:val="both"/>
        <w:rPr>
          <w:rFonts w:cs="Arial"/>
          <w:sz w:val="20"/>
          <w:szCs w:val="24"/>
        </w:rPr>
      </w:pPr>
      <w:r w:rsidRPr="005248BF">
        <w:rPr>
          <w:rFonts w:cs="Arial"/>
          <w:sz w:val="20"/>
          <w:szCs w:val="24"/>
        </w:rPr>
        <w:t xml:space="preserve">A continuación se enuncia el inventario </w:t>
      </w:r>
      <w:r>
        <w:rPr>
          <w:rFonts w:cs="Arial"/>
          <w:sz w:val="20"/>
          <w:szCs w:val="24"/>
        </w:rPr>
        <w:t xml:space="preserve">de la información sobre la cual se requiere realizar la migración. </w:t>
      </w:r>
    </w:p>
    <w:p w:rsidR="005248BF" w:rsidRDefault="005248BF" w:rsidP="005248BF">
      <w:pPr>
        <w:pStyle w:val="Prrafodelista"/>
        <w:ind w:left="0"/>
        <w:jc w:val="both"/>
        <w:rPr>
          <w:rFonts w:cs="Arial"/>
          <w:sz w:val="20"/>
          <w:szCs w:val="24"/>
        </w:rPr>
      </w:pPr>
    </w:p>
    <w:p w:rsidR="005248BF" w:rsidRDefault="005248BF" w:rsidP="005248BF">
      <w:pPr>
        <w:pStyle w:val="Prrafodelista"/>
        <w:ind w:left="0"/>
        <w:jc w:val="both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Los ítems resaltados en amarillo son nuevos, por lo cual es necesario la creación de las tablas que permiten contener la información y los procesos que realizan el traspaso de datos a las tablas reales.</w:t>
      </w:r>
    </w:p>
    <w:p w:rsidR="005248BF" w:rsidRDefault="005248BF" w:rsidP="005248BF">
      <w:pPr>
        <w:pStyle w:val="Prrafodelista"/>
        <w:ind w:left="0"/>
        <w:jc w:val="both"/>
        <w:rPr>
          <w:rFonts w:cs="Arial"/>
          <w:sz w:val="20"/>
          <w:szCs w:val="24"/>
        </w:rPr>
      </w:pPr>
    </w:p>
    <w:p w:rsidR="005248BF" w:rsidRPr="005248BF" w:rsidRDefault="005248BF" w:rsidP="005248BF">
      <w:pPr>
        <w:pStyle w:val="Prrafodelista"/>
        <w:ind w:left="0"/>
        <w:jc w:val="both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Los ítems resaltados en verde ya existen, se debe modificar la estructura de las tablas y los procesos que realizan el traspaso de datos.</w:t>
      </w:r>
    </w:p>
    <w:p w:rsidR="005248BF" w:rsidRDefault="005248BF" w:rsidP="005248BF">
      <w:pPr>
        <w:pStyle w:val="Prrafodelista"/>
        <w:ind w:left="360"/>
        <w:rPr>
          <w:rFonts w:cs="Arial"/>
          <w:b/>
          <w:sz w:val="20"/>
          <w:szCs w:val="24"/>
        </w:rPr>
      </w:pPr>
    </w:p>
    <w:p w:rsidR="000E1773" w:rsidRDefault="000E5A4E" w:rsidP="000E1773">
      <w:pPr>
        <w:pStyle w:val="Prrafodelista"/>
        <w:ind w:left="0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Las tareas que se deben realizar para la migración es la siguiente:</w:t>
      </w:r>
    </w:p>
    <w:p w:rsidR="000E5A4E" w:rsidRDefault="000E5A4E" w:rsidP="000E1773">
      <w:pPr>
        <w:pStyle w:val="Prrafodelista"/>
        <w:ind w:left="0"/>
        <w:rPr>
          <w:rFonts w:cs="Arial"/>
          <w:sz w:val="20"/>
          <w:szCs w:val="24"/>
        </w:rPr>
      </w:pPr>
    </w:p>
    <w:p w:rsidR="000E1773" w:rsidRDefault="000E1773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Creación de las estructuras de tablas requeridas para la migración.</w:t>
      </w:r>
    </w:p>
    <w:p w:rsidR="000E1773" w:rsidRDefault="000E1773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Modificación de las estructuras de tablas requeridas para la migración.</w:t>
      </w:r>
    </w:p>
    <w:p w:rsidR="000E1773" w:rsidRDefault="000E1773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Creación de los nuevos procesos.</w:t>
      </w:r>
    </w:p>
    <w:p w:rsidR="000E1773" w:rsidRDefault="000E1773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Modificación de los procesos existentes.</w:t>
      </w:r>
    </w:p>
    <w:p w:rsidR="000E1773" w:rsidRDefault="000E1773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Definición de los procesos automáticos y los órdenes lógicos en la migración para las nuevas estructuras.</w:t>
      </w:r>
    </w:p>
    <w:p w:rsidR="00B04DBA" w:rsidRPr="000E1773" w:rsidRDefault="00B04DBA" w:rsidP="000E1773">
      <w:pPr>
        <w:pStyle w:val="Prrafodelista"/>
        <w:numPr>
          <w:ilvl w:val="0"/>
          <w:numId w:val="14"/>
        </w:numPr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Procesos de cargue de información a tablas de migración.</w:t>
      </w:r>
      <w:bookmarkStart w:id="0" w:name="_GoBack"/>
      <w:bookmarkEnd w:id="0"/>
    </w:p>
    <w:p w:rsidR="005248BF" w:rsidRDefault="005248BF" w:rsidP="005248BF">
      <w:pPr>
        <w:pStyle w:val="Prrafodelista"/>
        <w:ind w:left="360"/>
        <w:rPr>
          <w:rFonts w:cs="Arial"/>
          <w:b/>
          <w:sz w:val="20"/>
          <w:szCs w:val="24"/>
        </w:rPr>
      </w:pPr>
    </w:p>
    <w:p w:rsidR="005248BF" w:rsidRDefault="005248BF" w:rsidP="005248BF">
      <w:pPr>
        <w:pStyle w:val="Prrafodelista"/>
        <w:ind w:left="360"/>
        <w:rPr>
          <w:rFonts w:cs="Arial"/>
          <w:b/>
          <w:sz w:val="20"/>
          <w:szCs w:val="24"/>
        </w:rPr>
      </w:pP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>PERSONAS Y RED COMERCIAL</w:t>
      </w:r>
    </w:p>
    <w:p w:rsidR="000766BB" w:rsidRPr="007222AE" w:rsidRDefault="000766BB" w:rsidP="007222AE">
      <w:pPr>
        <w:pStyle w:val="Prrafodelista"/>
        <w:numPr>
          <w:ilvl w:val="0"/>
          <w:numId w:val="3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MIG_PERSONAS            </w:t>
      </w:r>
    </w:p>
    <w:p w:rsidR="000766BB" w:rsidRPr="007222AE" w:rsidRDefault="000766BB" w:rsidP="007222AE">
      <w:pPr>
        <w:pStyle w:val="Prrafodelista"/>
        <w:numPr>
          <w:ilvl w:val="0"/>
          <w:numId w:val="3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MIG_REGIMENFISCAL       </w:t>
      </w:r>
    </w:p>
    <w:p w:rsidR="000766BB" w:rsidRPr="007222AE" w:rsidRDefault="000766BB" w:rsidP="007222AE">
      <w:pPr>
        <w:pStyle w:val="Prrafodelista"/>
        <w:numPr>
          <w:ilvl w:val="0"/>
          <w:numId w:val="3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MIG_DIRECCIONES         </w:t>
      </w:r>
    </w:p>
    <w:p w:rsidR="000766BB" w:rsidRPr="007222AE" w:rsidRDefault="000766BB" w:rsidP="007222AE">
      <w:pPr>
        <w:pStyle w:val="Prrafodelista"/>
        <w:numPr>
          <w:ilvl w:val="0"/>
          <w:numId w:val="3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MIG_PERSONAS_REL        </w:t>
      </w:r>
    </w:p>
    <w:p w:rsidR="007222AE" w:rsidRDefault="000766BB" w:rsidP="007222AE">
      <w:pPr>
        <w:pStyle w:val="Prrafodelista"/>
        <w:numPr>
          <w:ilvl w:val="0"/>
          <w:numId w:val="3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MIG_AGENTES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    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 xml:space="preserve">CATEGORIAS TRIBUTARIAS </w:t>
      </w:r>
    </w:p>
    <w:p w:rsidR="000766BB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MIG_TIPOS_INDICADORES   </w:t>
      </w:r>
    </w:p>
    <w:p w:rsidR="007222AE" w:rsidRPr="007222AE" w:rsidRDefault="007222AE" w:rsidP="007222AE">
      <w:pPr>
        <w:pStyle w:val="Prrafodelista"/>
        <w:rPr>
          <w:rFonts w:cs="Arial"/>
          <w:sz w:val="20"/>
          <w:szCs w:val="24"/>
        </w:rPr>
      </w:pP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>FORMULARI</w:t>
      </w:r>
      <w:r w:rsidR="007222AE">
        <w:rPr>
          <w:rFonts w:cs="Arial"/>
          <w:b/>
          <w:sz w:val="20"/>
          <w:szCs w:val="24"/>
        </w:rPr>
        <w:t>O SARLAFT</w:t>
      </w:r>
      <w:r w:rsidRPr="007222AE">
        <w:rPr>
          <w:rFonts w:cs="Arial"/>
          <w:b/>
          <w:sz w:val="20"/>
          <w:szCs w:val="24"/>
        </w:rPr>
        <w:t xml:space="preserve">   </w:t>
      </w:r>
    </w:p>
    <w:p w:rsidR="000766BB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PER_DETSARLAFT          </w:t>
      </w:r>
    </w:p>
    <w:p w:rsidR="000766BB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PER_PRODFINEXT          </w:t>
      </w:r>
    </w:p>
    <w:p w:rsidR="000766BB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PER_RECLINDSEG          </w:t>
      </w:r>
    </w:p>
    <w:p w:rsidR="000766BB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PER_ACCASO              </w:t>
      </w:r>
    </w:p>
    <w:p w:rsidR="007222AE" w:rsidRPr="007222AE" w:rsidRDefault="000766BB" w:rsidP="007222AE">
      <w:pPr>
        <w:pStyle w:val="Prrafodelista"/>
        <w:numPr>
          <w:ilvl w:val="0"/>
          <w:numId w:val="4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>PER_TRADATSARLAFT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 xml:space="preserve">CONTRAGARANTIAS       </w:t>
      </w:r>
    </w:p>
    <w:p w:rsidR="000766BB" w:rsidRPr="007222AE" w:rsidRDefault="000766BB" w:rsidP="007222AE">
      <w:pPr>
        <w:pStyle w:val="Prrafodelista"/>
        <w:numPr>
          <w:ilvl w:val="0"/>
          <w:numId w:val="5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>MIG_CTGAR_CONTRAGARANTIA</w:t>
      </w:r>
    </w:p>
    <w:p w:rsidR="000766BB" w:rsidRPr="007222AE" w:rsidRDefault="000766BB" w:rsidP="007222AE">
      <w:pPr>
        <w:pStyle w:val="Prrafodelista"/>
        <w:numPr>
          <w:ilvl w:val="0"/>
          <w:numId w:val="5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MIG_CTGAR_DET           </w:t>
      </w:r>
    </w:p>
    <w:p w:rsidR="000766BB" w:rsidRPr="007222AE" w:rsidRDefault="000766BB" w:rsidP="007222AE">
      <w:pPr>
        <w:pStyle w:val="Prrafodelista"/>
        <w:numPr>
          <w:ilvl w:val="0"/>
          <w:numId w:val="5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MIG_CTGAR_INMUEBLE      </w:t>
      </w:r>
    </w:p>
    <w:p w:rsidR="000766BB" w:rsidRPr="007222AE" w:rsidRDefault="000766BB" w:rsidP="007222AE">
      <w:pPr>
        <w:pStyle w:val="Prrafodelista"/>
        <w:numPr>
          <w:ilvl w:val="0"/>
          <w:numId w:val="5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MIG_CTGAR_VEHICULO      </w:t>
      </w:r>
    </w:p>
    <w:p w:rsidR="007222AE" w:rsidRPr="007222AE" w:rsidRDefault="000766BB" w:rsidP="007222AE">
      <w:pPr>
        <w:pStyle w:val="Prrafodelista"/>
        <w:numPr>
          <w:ilvl w:val="0"/>
          <w:numId w:val="5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MIG_CTGAR_CODEUDOR 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>MARCAS POR PERSONA</w:t>
      </w:r>
    </w:p>
    <w:p w:rsidR="007222AE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MIG_PER_AGR_MARCAS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 xml:space="preserve">FICHA BUREAU            </w:t>
      </w:r>
    </w:p>
    <w:p w:rsidR="007222AE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MIG_BUREAU  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b/>
          <w:sz w:val="20"/>
          <w:szCs w:val="24"/>
        </w:rPr>
      </w:pPr>
      <w:r w:rsidRPr="007222AE">
        <w:rPr>
          <w:rFonts w:cs="Arial"/>
          <w:b/>
          <w:sz w:val="20"/>
          <w:szCs w:val="24"/>
        </w:rPr>
        <w:t xml:space="preserve">FICHA FINANCIERA        </w:t>
      </w:r>
    </w:p>
    <w:p w:rsidR="000766BB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MIG_FIN_GENERAL         </w:t>
      </w:r>
    </w:p>
    <w:p w:rsidR="000766BB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MIG_FIN_D_RENTA         </w:t>
      </w:r>
    </w:p>
    <w:p w:rsidR="000766BB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lastRenderedPageBreak/>
        <w:t xml:space="preserve">MIG_FIN_ENDEUDAMIENTO   </w:t>
      </w:r>
    </w:p>
    <w:p w:rsidR="000766BB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MIG_FIN_INDICADORES     </w:t>
      </w:r>
    </w:p>
    <w:p w:rsidR="007222AE" w:rsidRPr="007222AE" w:rsidRDefault="000766BB" w:rsidP="007222AE">
      <w:pPr>
        <w:pStyle w:val="Prrafodelista"/>
        <w:numPr>
          <w:ilvl w:val="0"/>
          <w:numId w:val="6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>MIG_FIN_PARINDICADORES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COASEGURO               </w:t>
      </w:r>
    </w:p>
    <w:p w:rsidR="000766BB" w:rsidRPr="007222AE" w:rsidRDefault="000766BB" w:rsidP="007222AE">
      <w:pPr>
        <w:pStyle w:val="Prrafodelista"/>
        <w:numPr>
          <w:ilvl w:val="0"/>
          <w:numId w:val="7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MIG_COMPANIAS           </w:t>
      </w:r>
    </w:p>
    <w:p w:rsidR="000766BB" w:rsidRPr="007222AE" w:rsidRDefault="000766BB" w:rsidP="007222AE">
      <w:pPr>
        <w:pStyle w:val="Prrafodelista"/>
        <w:numPr>
          <w:ilvl w:val="0"/>
          <w:numId w:val="7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MIG_COACEDIDO           </w:t>
      </w:r>
    </w:p>
    <w:p w:rsidR="007222AE" w:rsidRPr="007222AE" w:rsidRDefault="000766BB" w:rsidP="007222AE">
      <w:pPr>
        <w:pStyle w:val="Prrafodelista"/>
        <w:numPr>
          <w:ilvl w:val="0"/>
          <w:numId w:val="7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 xml:space="preserve">MIG_CTACOASEGURO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PRODUCCIÓN       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green"/>
        </w:rPr>
      </w:pPr>
      <w:r w:rsidRPr="007222AE">
        <w:rPr>
          <w:rFonts w:cs="Arial"/>
          <w:sz w:val="20"/>
          <w:szCs w:val="24"/>
          <w:highlight w:val="green"/>
        </w:rPr>
        <w:t xml:space="preserve">MIG_SEGUROS  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MIG_ASEGURADOS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green"/>
        </w:rPr>
      </w:pPr>
      <w:r w:rsidRPr="007222AE">
        <w:rPr>
          <w:rFonts w:cs="Arial"/>
          <w:sz w:val="20"/>
          <w:szCs w:val="24"/>
          <w:highlight w:val="green"/>
        </w:rPr>
        <w:t xml:space="preserve">MIG_MOVSEGURO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yellow"/>
        </w:rPr>
      </w:pPr>
      <w:r w:rsidRPr="007222AE">
        <w:rPr>
          <w:rFonts w:cs="Arial"/>
          <w:sz w:val="20"/>
          <w:szCs w:val="24"/>
          <w:highlight w:val="yellow"/>
        </w:rPr>
        <w:t>MIG_HISTORICOSEGUROS</w:t>
      </w:r>
    </w:p>
    <w:p w:rsidR="000766BB" w:rsidRPr="002201EA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MIG_RIESGOS         </w:t>
      </w:r>
    </w:p>
    <w:p w:rsidR="000766BB" w:rsidRPr="002201EA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green"/>
        </w:rPr>
      </w:pPr>
      <w:r w:rsidRPr="002201EA">
        <w:rPr>
          <w:rFonts w:cs="Arial"/>
          <w:sz w:val="20"/>
          <w:szCs w:val="24"/>
          <w:highlight w:val="green"/>
        </w:rPr>
        <w:t xml:space="preserve">MIG_GARANSEG 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MIG_CLAUSUESP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MIG_BENESPSEG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MIG_PREGUNSEG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MIG_COMISIONSEGU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MIG_CTASEGURO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MIG_AGENSEGU        </w:t>
      </w:r>
    </w:p>
    <w:p w:rsidR="000766BB" w:rsidRP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MIG_PREGUNGARANSEG  </w:t>
      </w:r>
    </w:p>
    <w:p w:rsidR="000766BB" w:rsidRPr="007222AE" w:rsidRDefault="000766BB" w:rsidP="002201EA">
      <w:pPr>
        <w:pStyle w:val="Prrafodelista"/>
        <w:numPr>
          <w:ilvl w:val="0"/>
          <w:numId w:val="8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MIG_SITRIESGO</w:t>
      </w:r>
    </w:p>
    <w:p w:rsidR="007222AE" w:rsidRDefault="000766BB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yellow"/>
        </w:rPr>
      </w:pPr>
      <w:r w:rsidRPr="00890267">
        <w:rPr>
          <w:rFonts w:cs="Arial"/>
          <w:sz w:val="20"/>
          <w:szCs w:val="24"/>
          <w:highlight w:val="yellow"/>
        </w:rPr>
        <w:t>MIG_CTGAR_SEGURO</w:t>
      </w:r>
    </w:p>
    <w:p w:rsidR="005248BF" w:rsidRPr="005248BF" w:rsidRDefault="005248BF" w:rsidP="007222AE">
      <w:pPr>
        <w:pStyle w:val="Prrafodelista"/>
        <w:numPr>
          <w:ilvl w:val="0"/>
          <w:numId w:val="8"/>
        </w:numPr>
        <w:rPr>
          <w:rFonts w:cs="Arial"/>
          <w:sz w:val="20"/>
          <w:szCs w:val="24"/>
          <w:highlight w:val="green"/>
        </w:rPr>
      </w:pPr>
      <w:r w:rsidRPr="005248BF">
        <w:rPr>
          <w:rFonts w:cs="Arial"/>
          <w:sz w:val="20"/>
          <w:szCs w:val="24"/>
          <w:highlight w:val="green"/>
        </w:rPr>
        <w:t>MIG_AGE_CORRETAJE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REASEGURO            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MIG_CODICONTRATOS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MIG_CONTRATOS    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MIG_TRAMOS       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MIG_CUADROCES    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MIG_AGR_CONTRATOS 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MIG_CLAUSULAS_REAS  </w:t>
      </w:r>
    </w:p>
    <w:p w:rsidR="000766BB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MIG_CTATECNICA      </w:t>
      </w:r>
    </w:p>
    <w:p w:rsidR="007222AE" w:rsidRPr="002201EA" w:rsidRDefault="000766BB" w:rsidP="007222AE">
      <w:pPr>
        <w:pStyle w:val="Prrafodelista"/>
        <w:numPr>
          <w:ilvl w:val="0"/>
          <w:numId w:val="9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MIG_CESIONESREA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PROVISIONES             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IBNR                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PPNC (PROVISIÓN PRIMAS NO CONSUMIDAS)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PPPC (PROVISIÓN DE PRIMAS PENDIENTES DE COBRO)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PTPPLP (PROVISIONES DE PRESTACIONES PENDIENTES DE LIQUIDACIÓN O PAGO)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PM (PROVISIÓN MATEMÁTICA)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PBEX (PROVISIÓN PARTICIPACIÓN EN BENEFICIOS)</w:t>
      </w:r>
    </w:p>
    <w:p w:rsidR="000766BB" w:rsidRPr="007222AE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PPNA (PROVISIÓN DE RIESGOS EN CURSO)</w:t>
      </w:r>
    </w:p>
    <w:p w:rsidR="000766BB" w:rsidRDefault="000766BB" w:rsidP="007222AE">
      <w:pPr>
        <w:pStyle w:val="Prrafodelista"/>
        <w:numPr>
          <w:ilvl w:val="0"/>
          <w:numId w:val="10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PRPC (PROVISIÓN DE PRIMAS PENDIENTES DE COBRO)</w:t>
      </w:r>
    </w:p>
    <w:p w:rsidR="007222AE" w:rsidRPr="007222AE" w:rsidRDefault="007222AE" w:rsidP="007222AE">
      <w:pPr>
        <w:pStyle w:val="Prrafodelista"/>
        <w:rPr>
          <w:rFonts w:cs="Arial"/>
          <w:sz w:val="20"/>
          <w:szCs w:val="24"/>
        </w:rPr>
      </w:pP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ADMINISTRACIÓN      </w:t>
      </w:r>
    </w:p>
    <w:p w:rsidR="000766BB" w:rsidRPr="002201EA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  <w:highlight w:val="green"/>
        </w:rPr>
      </w:pPr>
      <w:r w:rsidRPr="002201EA">
        <w:rPr>
          <w:rFonts w:cs="Arial"/>
          <w:sz w:val="20"/>
          <w:szCs w:val="24"/>
          <w:highlight w:val="green"/>
        </w:rPr>
        <w:t xml:space="preserve">MIG_RECIBOS     </w:t>
      </w:r>
    </w:p>
    <w:p w:rsidR="000766BB" w:rsidRPr="007222AE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MIG_MOVRECIBO   </w:t>
      </w:r>
    </w:p>
    <w:p w:rsidR="000766BB" w:rsidRPr="007222AE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MIG_DETRECIBOS  </w:t>
      </w:r>
    </w:p>
    <w:p w:rsidR="000766BB" w:rsidRPr="002201EA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MIG_LIQUIDACAB  </w:t>
      </w:r>
    </w:p>
    <w:p w:rsidR="000766BB" w:rsidRPr="002201EA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MIG_LIQUIDALIN  </w:t>
      </w:r>
    </w:p>
    <w:p w:rsidR="007222AE" w:rsidRPr="002201EA" w:rsidRDefault="000766BB" w:rsidP="007222AE">
      <w:pPr>
        <w:pStyle w:val="Prrafodelista"/>
        <w:numPr>
          <w:ilvl w:val="0"/>
          <w:numId w:val="11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MIG_CTACTES </w:t>
      </w:r>
    </w:p>
    <w:p w:rsidR="000766BB" w:rsidRPr="007222AE" w:rsidRDefault="000766BB" w:rsidP="007222AE">
      <w:pPr>
        <w:pStyle w:val="Prrafodelista"/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    </w:t>
      </w:r>
    </w:p>
    <w:p w:rsidR="000766BB" w:rsidRPr="007222AE" w:rsidRDefault="000766BB" w:rsidP="007222AE">
      <w:pPr>
        <w:pStyle w:val="Prrafodelista"/>
        <w:numPr>
          <w:ilvl w:val="0"/>
          <w:numId w:val="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SINIESTROS          </w:t>
      </w:r>
    </w:p>
    <w:p w:rsidR="000766BB" w:rsidRPr="002201EA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  <w:highlight w:val="yellow"/>
        </w:rPr>
      </w:pPr>
      <w:r w:rsidRPr="002201EA">
        <w:rPr>
          <w:rFonts w:cs="Arial"/>
          <w:sz w:val="20"/>
          <w:szCs w:val="24"/>
          <w:highlight w:val="yellow"/>
        </w:rPr>
        <w:t xml:space="preserve">MIG_SIN_PROF_PROFESIONALES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lastRenderedPageBreak/>
        <w:t xml:space="preserve">MIG_SIN_SINIESTRO         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MIG_SIN_MOVSINIESTRO      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MIG_SIN_TRAMITACION       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MIG_SIN_TRAMITA_MOVIMIENTO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MIG_SIN_TRAMITA_RESERVA   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MIG_SIN_TRAMITA_PAGO        </w:t>
      </w:r>
    </w:p>
    <w:p w:rsidR="000766BB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 xml:space="preserve">MIG_SIN_TRAMITA_MOVPAGO     </w:t>
      </w:r>
    </w:p>
    <w:p w:rsidR="008D2451" w:rsidRPr="007222AE" w:rsidRDefault="000766BB" w:rsidP="007222AE">
      <w:pPr>
        <w:pStyle w:val="Prrafodelista"/>
        <w:numPr>
          <w:ilvl w:val="0"/>
          <w:numId w:val="12"/>
        </w:numPr>
        <w:rPr>
          <w:rFonts w:cs="Arial"/>
          <w:sz w:val="20"/>
          <w:szCs w:val="24"/>
        </w:rPr>
      </w:pPr>
      <w:r w:rsidRPr="007222AE">
        <w:rPr>
          <w:rFonts w:cs="Arial"/>
          <w:sz w:val="20"/>
          <w:szCs w:val="24"/>
        </w:rPr>
        <w:t>MIG_SIN_TRAMITA_PAGO_GAR</w:t>
      </w:r>
    </w:p>
    <w:sectPr w:rsidR="008D2451" w:rsidRPr="00722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81E"/>
    <w:multiLevelType w:val="hybridMultilevel"/>
    <w:tmpl w:val="0EF41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862CD"/>
    <w:multiLevelType w:val="hybridMultilevel"/>
    <w:tmpl w:val="2B829F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5F36"/>
    <w:multiLevelType w:val="hybridMultilevel"/>
    <w:tmpl w:val="E7D45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B074D"/>
    <w:multiLevelType w:val="hybridMultilevel"/>
    <w:tmpl w:val="6AA0EA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4400B"/>
    <w:multiLevelType w:val="hybridMultilevel"/>
    <w:tmpl w:val="68A87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C0DE3"/>
    <w:multiLevelType w:val="hybridMultilevel"/>
    <w:tmpl w:val="F99A0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A0681"/>
    <w:multiLevelType w:val="hybridMultilevel"/>
    <w:tmpl w:val="7EB6A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81E5B"/>
    <w:multiLevelType w:val="hybridMultilevel"/>
    <w:tmpl w:val="68CE4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C416F"/>
    <w:multiLevelType w:val="hybridMultilevel"/>
    <w:tmpl w:val="A636E0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87361"/>
    <w:multiLevelType w:val="hybridMultilevel"/>
    <w:tmpl w:val="10666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B582D"/>
    <w:multiLevelType w:val="hybridMultilevel"/>
    <w:tmpl w:val="11E28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14648"/>
    <w:multiLevelType w:val="hybridMultilevel"/>
    <w:tmpl w:val="7182E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9321E"/>
    <w:multiLevelType w:val="multilevel"/>
    <w:tmpl w:val="CBC4D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81C2509"/>
    <w:multiLevelType w:val="hybridMultilevel"/>
    <w:tmpl w:val="175C7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9"/>
  </w:num>
  <w:num w:numId="5">
    <w:abstractNumId w:val="13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BB"/>
    <w:rsid w:val="000766BB"/>
    <w:rsid w:val="000E1773"/>
    <w:rsid w:val="000E5A4E"/>
    <w:rsid w:val="002201EA"/>
    <w:rsid w:val="005248BF"/>
    <w:rsid w:val="007222AE"/>
    <w:rsid w:val="00890267"/>
    <w:rsid w:val="008D2451"/>
    <w:rsid w:val="00B0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F94E42-7AAC-4743-95F9-42DE2592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B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0766BB"/>
    <w:pPr>
      <w:spacing w:before="240"/>
    </w:pPr>
    <w:rPr>
      <w:b/>
      <w:caps/>
      <w:noProof/>
    </w:rPr>
  </w:style>
  <w:style w:type="paragraph" w:styleId="TDC2">
    <w:name w:val="toc 2"/>
    <w:basedOn w:val="Normal"/>
    <w:next w:val="Normal"/>
    <w:autoRedefine/>
    <w:uiPriority w:val="39"/>
    <w:rsid w:val="000766BB"/>
    <w:pPr>
      <w:spacing w:before="120" w:line="240" w:lineRule="atLeast"/>
      <w:ind w:left="198"/>
    </w:pPr>
    <w:rPr>
      <w:b/>
      <w:caps/>
      <w:sz w:val="20"/>
    </w:rPr>
  </w:style>
  <w:style w:type="paragraph" w:styleId="TDC4">
    <w:name w:val="toc 4"/>
    <w:basedOn w:val="TDC3"/>
    <w:next w:val="Normal"/>
    <w:autoRedefine/>
    <w:uiPriority w:val="39"/>
    <w:rsid w:val="000766BB"/>
    <w:pPr>
      <w:spacing w:after="0"/>
      <w:ind w:left="601"/>
    </w:pPr>
    <w:rPr>
      <w:caps/>
      <w:sz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766BB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07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BA9F-FCB7-4DA6-B283-96363EC5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Esteban Gelvez</dc:creator>
  <cp:keywords/>
  <dc:description/>
  <cp:lastModifiedBy>Johan Alexis Esteban Gelvez</cp:lastModifiedBy>
  <cp:revision>2</cp:revision>
  <dcterms:created xsi:type="dcterms:W3CDTF">2016-10-07T19:11:00Z</dcterms:created>
  <dcterms:modified xsi:type="dcterms:W3CDTF">2016-10-07T20:26:00Z</dcterms:modified>
</cp:coreProperties>
</file>