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</w:t>
      </w:r>
      <w:r>
        <w:t xml:space="preserve"> </w:t>
      </w:r>
      <w:r>
        <w:t xml:space="preserve">Workshop</w:t>
      </w:r>
      <w:r>
        <w:t xml:space="preserve"> </w:t>
      </w:r>
      <w:r>
        <w:t xml:space="preserve">Paper</w:t>
      </w:r>
      <w:r>
        <w:t xml:space="preserve"> </w:t>
      </w:r>
      <w:r>
        <w:t xml:space="preserve">(title</w:t>
      </w:r>
      <w:r>
        <w:t xml:space="preserve"> </w:t>
      </w:r>
      <w:r>
        <w:t xml:space="preserve">TBD)</w:t>
      </w:r>
    </w:p>
    <w:p>
      <w:pPr>
        <w:pStyle w:val="FirstParagraph"/>
      </w:pPr>
      <w:r>
        <w:t xml:space="preserve">Your name here, your degree,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Your department, University, City, State.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bCs/>
          <w:b/>
        </w:rPr>
        <w:t xml:space="preserve">Correspondence to:</w:t>
      </w:r>
      <w:r>
        <w:br/>
      </w:r>
      <w:r>
        <w:t xml:space="preserve">Byron C. Jaeger, PhD</w:t>
      </w:r>
      <w:r>
        <w:br/>
      </w:r>
      <w:r>
        <w:t xml:space="preserve">Department of Biostatistics and Data Science</w:t>
      </w:r>
      <w:r>
        <w:br/>
      </w:r>
      <w:r>
        <w:t xml:space="preserve">Division of Public Health Sciences</w:t>
      </w:r>
      <w:r>
        <w:br/>
      </w:r>
      <w:r>
        <w:t xml:space="preserve">Wake Forest School of Medicine</w:t>
      </w:r>
      <w:r>
        <w:br/>
      </w:r>
      <w:r>
        <w:t xml:space="preserve">Medical Center Boulevard</w:t>
      </w:r>
      <w:r>
        <w:br/>
      </w:r>
      <w:r>
        <w:t xml:space="preserve">Winston-Salem, NC 27154</w:t>
      </w:r>
      <w:r>
        <w:br/>
      </w:r>
      <w:r>
        <w:t xml:space="preserve">336-716-6956</w:t>
      </w:r>
      <w:r>
        <w:br/>
      </w:r>
      <w:hyperlink r:id="rId20">
        <w:r>
          <w:rPr>
            <w:rStyle w:val="Hyperlink"/>
          </w:rPr>
          <w:t xml:space="preserve">bjaeger@wakehealth.edu</w:t>
        </w:r>
      </w:hyperlink>
      <w:r>
        <w:t xml:space="preserve"> </w:t>
      </w:r>
    </w:p>
    <w:p>
      <w:pPr>
        <w:pStyle w:val="BodyText"/>
      </w:pPr>
      <w:r>
        <w:rPr>
          <w:bCs/>
          <w:b/>
        </w:rPr>
        <w:t xml:space="preserve">Word Count:</w:t>
      </w:r>
      <w:r>
        <w:t xml:space="preserve"> </w:t>
      </w:r>
      <w:r>
        <w:t xml:space="preserve">Abstract: ; Manuscript: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Here’s how to cite one thing.</w:t>
      </w:r>
      <w:r>
        <w:rPr>
          <w:vertAlign w:val="superscript"/>
        </w:rPr>
        <w:t xml:space="preserve">1</w:t>
      </w:r>
    </w:p>
    <w:p>
      <w:pPr>
        <w:pStyle w:val="BodyText"/>
      </w:pPr>
      <w:r>
        <w:t xml:space="preserve">Here’s how to cite two or more things.</w:t>
      </w:r>
      <w:r>
        <w:rPr>
          <w:vertAlign w:val="superscript"/>
        </w:rPr>
        <w:t xml:space="preserve">2,3</w:t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Chronic kidney disease was defined by estimated glomerular filtration rate &lt;60 ml/min/1.73 meters squared based on the 2021 CKD-EPI creatinine equation.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r>
        <w:br w:type="page"/>
      </w:r>
    </w:p>
    <w:bookmarkEnd w:id="25"/>
    <w:bookmarkStart w:id="32" w:name="references"/>
    <w:p>
      <w:pPr>
        <w:pStyle w:val="Heading1"/>
      </w:pPr>
      <w:r>
        <w:t xml:space="preserve">REFERENCES</w:t>
      </w:r>
    </w:p>
    <w:bookmarkStart w:id="31" w:name="refs"/>
    <w:bookmarkStart w:id="27" w:name="ref-r_languag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Computing; 2020.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</w:p>
    <w:bookmarkEnd w:id="27"/>
    <w:bookmarkStart w:id="29" w:name="ref-ambrosius_design_201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Ambrosius WT, Sink KM, Foy CG, et al. The design and rationale of a multicenter clinical trial comparing two strategies for control of systolic blood pressure:</w:t>
      </w:r>
      <w:r>
        <w:t xml:space="preserve"> </w:t>
      </w:r>
      <w:r>
        <w:t xml:space="preserve">The</w:t>
      </w:r>
      <w:r>
        <w:t xml:space="preserve"> </w:t>
      </w:r>
      <w:r>
        <w:t xml:space="preserve">Systolic</w:t>
      </w:r>
      <w:r>
        <w:t xml:space="preserve"> </w:t>
      </w: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Intervention</w:t>
      </w:r>
      <w:r>
        <w:t xml:space="preserve"> </w:t>
      </w:r>
      <w:r>
        <w:t xml:space="preserve">Trial</w:t>
      </w:r>
      <w:r>
        <w:t xml:space="preserve"> </w:t>
      </w:r>
      <w:r>
        <w:t xml:space="preserve">(</w:t>
      </w:r>
      <w:r>
        <w:t xml:space="preserve">SPRINT</w:t>
      </w:r>
      <w:r>
        <w:t xml:space="preserve">).</w:t>
      </w:r>
      <w:r>
        <w:t xml:space="preserve"> </w:t>
      </w:r>
      <w:r>
        <w:rPr>
          <w:iCs/>
          <w:i/>
        </w:rPr>
        <w:t xml:space="preserve">Clinical Trials</w:t>
      </w:r>
      <w:r>
        <w:t xml:space="preserve">. 2014;11(5):532-546. doi:</w:t>
      </w:r>
      <w:hyperlink r:id="rId28">
        <w:r>
          <w:rPr>
            <w:rStyle w:val="Hyperlink"/>
          </w:rPr>
          <w:t xml:space="preserve">10.1177/1740774514537404</w:t>
        </w:r>
      </w:hyperlink>
    </w:p>
    <w:bookmarkEnd w:id="29"/>
    <w:bookmarkStart w:id="30" w:name="X71220bfa5ead06078c2f5fafd6fc9cc12b95335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SPRINT Research Group. A randomized trial of intensive versus standard blood-pressure control.</w:t>
      </w:r>
      <w:r>
        <w:t xml:space="preserve"> </w:t>
      </w:r>
      <w:r>
        <w:rPr>
          <w:iCs/>
          <w:i/>
        </w:rPr>
        <w:t xml:space="preserve">New England Journal of Medicine</w:t>
      </w:r>
      <w:r>
        <w:t xml:space="preserve">. 2015;373(22):2103-2116.</w:t>
      </w:r>
    </w:p>
    <w:bookmarkEnd w:id="30"/>
    <w:bookmarkEnd w:id="31"/>
    <w:p>
      <w:r>
        <w:br w:type="page"/>
      </w:r>
    </w:p>
    <w:bookmarkEnd w:id="32"/>
    <w:bookmarkStart w:id="33" w:name="acknowledgments"/>
    <w:p>
      <w:pPr>
        <w:pStyle w:val="Heading1"/>
      </w:pPr>
      <w:r>
        <w:t xml:space="preserve">ACKNOWLEDGMENTS</w:t>
      </w:r>
    </w:p>
    <w:bookmarkEnd w:id="33"/>
    <w:bookmarkStart w:id="34" w:name="financial-disclosure"/>
    <w:p>
      <w:pPr>
        <w:pStyle w:val="Heading1"/>
      </w:pPr>
      <w:r>
        <w:t xml:space="preserve">FINANCIAL DISCLOSURE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FirstParagraph"/>
      </w:pPr>
      <w:r>
        <w:t xml:space="preserve">To make a landscape section, use the block_section code here. Note that the section will be applied to all content prior to the block reaching up to the most recent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FirstParagraph"/>
      </w:pPr>
      <w:r>
        <w:t xml:space="preserve">To switch back to regular portrait section, add another portrait block. Notice how the block below acts on all content above it up to the prior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"portrait"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margins_normal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bookmarkEnd w:id="34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8" Type="http://schemas.openxmlformats.org/officeDocument/2006/relationships/hyperlink" Target="https://doi.org/10.1177/1740774514537404" TargetMode="Externa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_rels/footnotes.xml.rels><?xml version="1.0" encoding="UTF-8" standalone="yes"?>

<Relationships  xmlns="http://schemas.openxmlformats.org/package/2006/relationships">
<Relationship Id="rId28" Type="http://schemas.openxmlformats.org/officeDocument/2006/relationships/hyperlink" Target="https://doi.org/10.1177/1740774514537404" TargetMode="Externa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(title TBD)</dc:title>
  <dc:creator/>
  <cp:keywords/>
  <dcterms:created xsi:type="dcterms:W3CDTF">2024-05-28T11:19:38Z</dcterms:created>
  <dcterms:modified xsi:type="dcterms:W3CDTF">2024-05-28T07:19:38Z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