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ÍNDOLE 360 metodologia e projetos</w:t>
      </w:r>
    </w:p>
    <w:p>
      <w:pPr>
        <w:pStyle w:val="Subtitle"/>
      </w:pPr>
      <w:r>
        <w:t>Modelo autoral 30 30 30 10  |  Aldenir Rocha  |  18 setembro 2026</w:t>
      </w:r>
    </w:p>
    <w:p>
      <w:r>
        <w:t>Este documento explica o propósito do catálogo, sua régua de avaliação, os limites contábeis e os projetos de humanização e simplificação tecnológica. A conclusão operacional é iniciar com evidências rastreáveis e pilotos avaliáveis, sem atribuir notas onde faltam dados.</w:t>
      </w:r>
    </w:p>
    <w:p>
      <w:r>
        <w:drawing>
          <wp:inline xmlns:a="http://schemas.openxmlformats.org/drawingml/2006/main" xmlns:pic="http://schemas.openxmlformats.org/drawingml/2006/picture">
            <wp:extent cx="6192000" cy="1307200"/>
            <wp:docPr id="1" name="Picture 1"/>
            <wp:cNvGraphicFramePr>
              <a:graphicFrameLocks noChangeAspect="1"/>
            </wp:cNvGraphicFramePr>
            <a:graphic>
              <a:graphicData uri="http://schemas.openxmlformats.org/drawingml/2006/picture">
                <pic:pic>
                  <pic:nvPicPr>
                    <pic:cNvPr id="0" name="modelo-30303010.png"/>
                    <pic:cNvPicPr/>
                  </pic:nvPicPr>
                  <pic:blipFill>
                    <a:blip r:embed="rId10"/>
                    <a:stretch>
                      <a:fillRect/>
                    </a:stretch>
                  </pic:blipFill>
                  <pic:spPr>
                    <a:xfrm>
                      <a:off x="0" y="0"/>
                      <a:ext cx="6192000" cy="1307200"/>
                    </a:xfrm>
                    <a:prstGeom prst="rect"/>
                  </pic:spPr>
                </pic:pic>
              </a:graphicData>
            </a:graphic>
          </wp:inline>
        </w:drawing>
      </w:r>
    </w:p>
    <w:p>
      <w:pPr>
        <w:pStyle w:val="Heading1"/>
      </w:pPr>
      <w:r>
        <w:t>Roteiro de leitura</w:t>
      </w:r>
    </w:p>
    <w:p>
      <w:r>
        <w:t>1  Propósito e modelo  •  2  Contabilidade  •  3  Indicadores  •  4  Agentes  •  5  Humanização  •  6  Cenários  •  7  Integridade  •  8  Aperfeiçoamento</w:t>
      </w:r>
    </w:p>
    <w:p>
      <w:pPr>
        <w:pStyle w:val="Heading1"/>
      </w:pPr>
      <w:r>
        <w:t>Propósito e alcance</w:t>
      </w:r>
    </w:p>
    <w:p>
      <w:r>
        <w:t>Idealização de Aldenir Rocha. Versão 2.0, 18 de setembro de 2026. O projeto organiza evidências públicas para que consumidores entendam como organizações ganham dinheiro, tratam pessoas, melhoram produtos e respondem pelos impactos de sua atividade. A expressão índole empresarial designa uma avaliação editorial de condutas documentadas. Não é diagnóstico da personalidade de dirigentes, certificação oficial ou recomendação de investimento.</w:t>
      </w:r>
    </w:p>
    <w:p>
      <w:r>
        <w:t>A visão do autor é deslocar a atenção do crescimento patrimonial para o valor social da atividade empresarial. A expressão substituir a bolsa pelo valor real representa essa ambição cívica; este catálogo não executa uma substituição institucional do mercado de capitais. Seu mecanismo inicial é informar escolhas de consumo e propor melhorias verificáveis.</w:t>
      </w:r>
    </w:p>
    <w:p>
      <w:pPr>
        <w:pStyle w:val="Heading1"/>
      </w:pPr>
      <w:r>
        <w:t>Modelo proposto 30 30 30 10</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289"/>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Destino</w:t>
            </w:r>
          </w:p>
        </w:tc>
        <w:tc>
          <w:tcPr>
            <w:tcW w:type="dxa" w:w="3289"/>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Meta autoral</w:t>
            </w:r>
          </w:p>
        </w:tc>
        <w:tc>
          <w:tcPr>
            <w:tcW w:type="dxa" w:w="3289"/>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O que precisa ser demonstrado</w:t>
            </w:r>
          </w:p>
        </w:tc>
      </w:tr>
      <w:tr>
        <w:trPr>
          <w:cantSplit/>
        </w:trPr>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Produto e capacidade produtiva</w:t>
            </w:r>
          </w:p>
        </w:tc>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30%</w:t>
            </w:r>
          </w:p>
        </w:tc>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Melhoria de qualidade, durabilidade, segurança, acessibilidade e expansão útil</w:t>
            </w:r>
          </w:p>
        </w:tc>
      </w:tr>
      <w:tr>
        <w:trPr>
          <w:cantSplit/>
        </w:trPr>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Pessoas e humanização</w:t>
            </w:r>
          </w:p>
        </w:tc>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30%</w:t>
            </w:r>
          </w:p>
        </w:tc>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Formação remunerada, saúde e segurança, progressão, participação nos resultados e transição profissional</w:t>
            </w:r>
          </w:p>
        </w:tc>
      </w:tr>
      <w:tr>
        <w:trPr>
          <w:cantSplit/>
        </w:trPr>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Social ambiental e humanitário</w:t>
            </w:r>
          </w:p>
        </w:tc>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30%</w:t>
            </w:r>
          </w:p>
        </w:tc>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Recursos próprios executados e resultados; prioridade à prevenção e reparação de danos da cadeia</w:t>
            </w:r>
          </w:p>
        </w:tc>
      </w:tr>
      <w:tr>
        <w:trPr>
          <w:cantSplit/>
        </w:trPr>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Reserva sem aplicação financeira</w:t>
            </w:r>
          </w:p>
        </w:tc>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10%</w:t>
            </w:r>
          </w:p>
        </w:tc>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Aumento de reserva segregada, disponível e sem busca de rendimento, na versão estrita do autor</w:t>
            </w:r>
          </w:p>
        </w:tc>
      </w:tr>
    </w:tbl>
    <w:p>
      <w:pPr>
        <w:spacing w:after="40"/>
      </w:pPr>
    </w:p>
    <w:p>
      <w:r>
        <w:t>Os percentuais são uma proposta normativa do autor. Não são obrigação legal universal, padrão contábil ou proporção ótima demonstrada por estudo. A tese de tornar esse modelo obrigatório precisa de debate democrático, avaliação jurídica e estudo de efeitos distributivos por setor. Nesta versão, a adesão é uma referência voluntária para simulação e transparência.</w:t>
      </w:r>
    </w:p>
    <w:p>
      <w:r>
        <w:t>O modelo estrito reserva zero para dividendos, recompras e aplicações que busquem rendimentos. Isso altera o incentivo ao capital e pode afetar financiamento, preços e continuidade. Deve ser explicitado e estudado, sem apresentar benefícios como garantidos. Investimento financeiro por si só não comprova ilícito ou falta de honestidade. O contraditório investigará finalidade, risco, horizonte e custo de oportunidade, inclusive se necessidades materiais de trabalhadores, produto e reparação foram preteridas.</w:t>
      </w:r>
    </w:p>
    <w:p>
      <w:pPr>
        <w:pStyle w:val="Heading1"/>
      </w:pPr>
      <w:r>
        <w:t>Lucro não é uma carteira de quatro envelopes</w:t>
      </w:r>
    </w:p>
    <w:p>
      <w:r>
        <w:t>Lucro é resultado contábil por competência. Salários, treinamento, parte da pesquisa e doações podem ter sido deduzidos antes de sua apuração. CAPEX é investimento em ativos; caixa é estoque; compras de títulos, dividendos e recompras têm naturezas distintas. Portanto, não se somam essas rubricas como fatias exclusivas de 100% do lucro. A IAS 7 distingue fluxos operacionais, de investimento e de financiamento [1].</w:t>
      </w:r>
    </w:p>
    <w:p>
      <w:r>
        <w:t>Para testar o modelo sem circularidade, o simulador utiliza lucro positivo de um exercício encerrado apenas como referência para um plano do período seguinte. Cada compromisso deve possuir identificador único, fonte de recursos e calendário. Despesas históricas não viram alocações adicionais por mera renomeação. O plano só se torna executável após conciliar caixa livre, capital de giro, serviço da dívida, exigências regulatórias e reparações devidas. Se houver insuficiência, ela aparece como lacuna de financiamento; o simulador não recomenda empréstimo nem reduz obrigações silenciosamente.</w:t>
      </w:r>
    </w:p>
    <w:p>
      <w:r>
        <w:t>Lucro zero, negativo ou desconhecido torna a simulação proporcional indisponível. Prejuízo não elimina obrigações com trabalhadores, consumidores e reparação. Bancos e seguradoras exigem tratamento próprio porque intermediação financeira e aplicações de reservas fazem parte da atividade. ONGs usam orçamento e recursos livres; governos usam orçamento público; não se transfere o mesmo denominador automaticamente.</w:t>
      </w:r>
    </w:p>
    <w:p>
      <w:pPr>
        <w:pStyle w:val="Heading1"/>
      </w:pPr>
      <w:r>
        <w:t>Indicadores e ranking</w:t>
      </w:r>
    </w:p>
    <w:p>
      <w:r>
        <w:t>O catálogo separa três objetos: ranking editorial de conduta, aderência documentada ao modelo 30/30/30/10 e comparações financeiras descritivas. Somente o primeiro pode receber o nome de ranking de índole. Valores financeiros e cobertura documental não funcionam como substitutos dele.</w:t>
      </w:r>
    </w:p>
    <w:p>
      <w:r>
        <w:t>HONRA reúne humanos, obras sociais, natureza, retidão jurídica e autenticidade. MÉRITO reúne consumidor, evolução do produto, reinvestimento, governança, trajetória e acesso. Cada dimensão usa escala 0 a 10, evidências, justificativa e revisão; ÍNDOLE = 5 × (média HONRA + média MÉRITO). A nota só fecha quando as onze dimensões são sustentadas. Ausência é null, nunca zero ou cinco. A régua ainda requer validação de conteúdo, concordância entre avaliadores e análise de sensibilidade.</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289"/>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Comparação descritiva</w:t>
            </w:r>
          </w:p>
        </w:tc>
        <w:tc>
          <w:tcPr>
            <w:tcW w:type="dxa" w:w="3289"/>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Cálculo</w:t>
            </w:r>
          </w:p>
        </w:tc>
        <w:tc>
          <w:tcPr>
            <w:tcW w:type="dxa" w:w="3289"/>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Limite de interpretação</w:t>
            </w:r>
          </w:p>
        </w:tc>
      </w:tr>
      <w:tr>
        <w:trPr>
          <w:cantSplit/>
        </w:trPr>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Intensidade de pesquisa</w:t>
            </w:r>
          </w:p>
        </w:tc>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P&amp;D dividido pela receita</w:t>
            </w:r>
          </w:p>
        </w:tc>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Usar P&amp;D identificável, não toda despesa tecnológica</w:t>
            </w:r>
          </w:p>
        </w:tc>
      </w:tr>
      <w:tr>
        <w:trPr>
          <w:cantSplit/>
        </w:trPr>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Retorno ao acionista</w:t>
            </w:r>
          </w:p>
        </w:tc>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Dividendos e recompras divididos pelo lucro positivo</w:t>
            </w:r>
          </w:p>
        </w:tc>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Não prova má conduta; pode superar 100% e usar reservas de outros anos</w:t>
            </w:r>
          </w:p>
        </w:tc>
      </w:tr>
      <w:tr>
        <w:trPr>
          <w:cantSplit/>
        </w:trPr>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Intensidade de capital</w:t>
            </w:r>
          </w:p>
        </w:tc>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CAPEX dividido pela receita</w:t>
            </w:r>
          </w:p>
        </w:tc>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Setores e definições de CAPEX diferem; não é qualidade do produto</w:t>
            </w:r>
          </w:p>
        </w:tc>
      </w:tr>
      <w:tr>
        <w:trPr>
          <w:cantSplit/>
        </w:trPr>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Social próprio</w:t>
            </w:r>
          </w:p>
        </w:tc>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Recursos próprios executados divididos pelo lucro positivo</w:t>
            </w:r>
          </w:p>
        </w:tc>
        <w:tc>
          <w:tcPr>
            <w:tcW w:type="dxa" w:w="3289"/>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Exige excluir terceiros, benefícios fiscais conhecidos e dupla contagem</w:t>
            </w:r>
          </w:p>
        </w:tc>
      </w:tr>
      <w:tr>
        <w:trPr>
          <w:cantSplit/>
        </w:trPr>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Aderência 30 30 30 10</w:t>
            </w:r>
          </w:p>
        </w:tc>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Soma dos mínimos entre execução elegível e meta de cada destino dividida pela base</w:t>
            </w:r>
          </w:p>
        </w:tc>
        <w:tc>
          <w:tcPr>
            <w:tcW w:type="dxa" w:w="3289"/>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Exige quatro valores conhecidos, exclusivos e reconciliados; não mede impacto por si</w:t>
            </w:r>
          </w:p>
        </w:tc>
      </w:tr>
    </w:tbl>
    <w:p>
      <w:pPr>
        <w:spacing w:after="40"/>
      </w:pPr>
    </w:p>
    <w:p>
      <w:r>
        <w:t>Ranking geral e setorial compartilham a mesma versão de critérios. Dentro de um setor, comparar período, perímetro, moeda, denominador e natureza do indicador. Um único integrante não pode ser anunciado como campeão do setor. Empates e incerteza devem aparecer; alteração de pesos exige nova versão. Histórico de dez anos e atual de 24 meses ficam indisponíveis até pesquisa compatível. Não se inventa vetor de redenção com uma fotografia anual.</w:t>
      </w:r>
    </w:p>
    <w:p>
      <w:pPr>
        <w:pStyle w:val="Heading1"/>
      </w:pPr>
      <w:r>
        <w:t>Duas revisões adversariais</w:t>
      </w:r>
    </w:p>
    <w:p>
      <w:r>
        <w:t>O agente Contraditório financeiro e integridade investiga aplicações, recompras, conflitos de interesse, sanções e alegações. Sua função é testar a tese, procurando também explicações legítimas e desfechos favoráveis. Identifica processo, autoridade, jurisdição, data, defesa, recurso e reparação. Não presume corrupção. Acordo pode existir sem confissão; sua natureza depende do instrumento.</w:t>
      </w:r>
    </w:p>
    <w:p>
      <w:r>
        <w:t>O agente Acreditação documental e planejamento de impacto verifica se projetos existem, se o dinheiro foi executado, quem o financiou e o que mudou. Relatório corporativo é evidência de uma declaração; não equivale à confirmação independente de impacto. Beneficiários, custo por resultado, continuidade, adicionalidade, auditoria e vínculo com danos devem ser avaliados. A palavra acreditação é o nome do papel interno e não cria um selo reconhecido por terceiros.</w:t>
      </w:r>
    </w:p>
    <w:p>
      <w:r>
        <w:t>Ambos entregam evidências contrárias às próprias conclusões. Um revisor integra divergências e mantém trilha de versões. O site estático não executa essas rotinas sozinho. Os roteiros são reutilizáveis sob comando; não há monitoramento contínuo ativado.</w:t>
      </w:r>
    </w:p>
    <w:p>
      <w:pPr>
        <w:pStyle w:val="Heading1"/>
      </w:pPr>
      <w:r>
        <w:t>Pessoas e tecnologia humanizada</w:t>
      </w:r>
    </w:p>
    <w:p>
      <w:r>
        <w:t>A proposta do autor é orientar inovação para ampliar capacidades humanas, preservar oportunidades e remunerar criatividade, cuidado, julgamento e responsabilidade. A pesquisa inversa pergunta quais atividades humanas valiosas podem ser habilitadas por uma tecnologia, em vez de apenas perguntar quais tarefas podem ser automatizadas.</w:t>
      </w:r>
    </w:p>
    <w:p>
      <w:r>
        <w:t>Isso não exige tornar sistemas artificialmente ineficientes ou obrigar pessoas a executar tarefas perigosas. A formulação operacional recomendada é complementaridade humana com autonomia: participação de trabalhadores no desenho, capacitação em horário remunerado, alternativas de realocação, compartilhamento de produtividade e avaliação antes de substituições. A proibição geral de substituição por máquinas é proposta política do autor, ainda sujeita à análise de viabilidade e exceções, não regra vigente.</w:t>
      </w:r>
    </w:p>
    <w:p>
      <w:r>
        <w:t>O estudo OIT NASK de 2025 avalia exposição potencial à IA generativa e ressalta que exposição não equivale a perda de emprego observada [3]. Isso sustenta cautela com previsões, não demonstra que qualquer política específica garantirá emprego.</w:t>
      </w:r>
    </w:p>
    <w:p>
      <w:r>
        <w:t>Indicadores do projeto separado Humanização da Tecnologia: renda mediana real; promoções internas; mobilidade após automação; horas remuneradas de aprendizagem; acidentes por horas trabalhadas; rotatividade voluntária; satisfação com amostra e taxa de resposta; participação de trabalhadores nas decisões; tarefas perigosas removidas; novas funções humanas úteis. Contar funcionários sem contexto não demonstra valorização.</w:t>
      </w:r>
    </w:p>
    <w:p>
      <w:r>
        <w:t>O eixo Tecnologia Simples e Acessível mede sucesso em tarefas, tempo até o objetivo, erros recuperáveis, acessibilidade, reparabilidade e custo total para diferentes rendas. Interfaces claras, modos progressivos e suporte humano opcional devem aumentar autonomia. Não prometer inclusão só por oferecer uma versão barata de qualidade inferior.</w:t>
      </w:r>
    </w:p>
    <w:p>
      <w:pPr>
        <w:pStyle w:val="Heading1"/>
      </w:pPr>
      <w:r>
        <w:t>Cenários e potenciais</w:t>
      </w:r>
    </w:p>
    <w:p>
      <w:r>
        <w:t>Exemplo matemático, não previsão: com referência de 100 milhões de unidades monetárias, o plano contém 30 milhões para produto, 30 milhões para pessoas, 30 milhões para impacto e 10 milhões em reserva. Com adoção por uma fração a e execução verificada e, cada bloco de 30% movimenta 0,30 × lucro elegível agregado × a × e. Esses montantes não medem vidas melhoradas nem ganhos de produtividade.</w:t>
      </w:r>
    </w:p>
    <w:tbl>
      <w:tblPr>
        <w:tblW w:type="auto" w:w="0"/>
        <w:jc w:val="center"/>
        <w:tblLayout w:type="fixed"/>
        <w:tblLook w:firstColumn="1" w:firstRow="1" w:lastColumn="0" w:lastRow="0" w:noHBand="0" w:noVBand="1" w:val="04A0"/>
      </w:tblPr>
      <w:tblGrid>
        <w:gridCol w:w="2466"/>
        <w:gridCol w:w="2466"/>
        <w:gridCol w:w="2466"/>
        <w:gridCol w:w="2466"/>
      </w:tblGrid>
      <w:tr>
        <w:trPr>
          <w:tblHeader/>
          <w:cantSplit/>
        </w:trPr>
        <w:tc>
          <w:tcPr>
            <w:tcW w:type="dxa" w:w="2466"/>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Cenário ilustrativo</w:t>
            </w:r>
          </w:p>
        </w:tc>
        <w:tc>
          <w:tcPr>
            <w:tcW w:type="dxa" w:w="2466"/>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Adoção</w:t>
            </w:r>
          </w:p>
        </w:tc>
        <w:tc>
          <w:tcPr>
            <w:tcW w:type="dxa" w:w="2466"/>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Execução</w:t>
            </w:r>
          </w:p>
        </w:tc>
        <w:tc>
          <w:tcPr>
            <w:tcW w:type="dxa" w:w="2466"/>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Cada bloco de 30% por 100 milhões de base agregada</w:t>
            </w:r>
          </w:p>
        </w:tc>
      </w:tr>
      <w:tr>
        <w:trPr>
          <w:cantSplit/>
        </w:trPr>
        <w:tc>
          <w:tcPr>
            <w:tcW w:type="dxa" w:w="246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Baixa adesão</w:t>
            </w:r>
          </w:p>
        </w:tc>
        <w:tc>
          <w:tcPr>
            <w:tcW w:type="dxa" w:w="246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10%</w:t>
            </w:r>
          </w:p>
        </w:tc>
        <w:tc>
          <w:tcPr>
            <w:tcW w:type="dxa" w:w="246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50%</w:t>
            </w:r>
          </w:p>
        </w:tc>
        <w:tc>
          <w:tcPr>
            <w:tcW w:type="dxa" w:w="246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1,5 milhão</w:t>
            </w:r>
          </w:p>
        </w:tc>
      </w:tr>
      <w:tr>
        <w:trPr>
          <w:cantSplit/>
        </w:trPr>
        <w:tc>
          <w:tcPr>
            <w:tcW w:type="dxa" w:w="2466"/>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Adesão intermediária</w:t>
            </w:r>
          </w:p>
        </w:tc>
        <w:tc>
          <w:tcPr>
            <w:tcW w:type="dxa" w:w="2466"/>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30%</w:t>
            </w:r>
          </w:p>
        </w:tc>
        <w:tc>
          <w:tcPr>
            <w:tcW w:type="dxa" w:w="2466"/>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75%</w:t>
            </w:r>
          </w:p>
        </w:tc>
        <w:tc>
          <w:tcPr>
            <w:tcW w:type="dxa" w:w="2466"/>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6,75 milhões</w:t>
            </w:r>
          </w:p>
        </w:tc>
      </w:tr>
      <w:tr>
        <w:trPr>
          <w:cantSplit/>
        </w:trPr>
        <w:tc>
          <w:tcPr>
            <w:tcW w:type="dxa" w:w="246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Adesão ampla</w:t>
            </w:r>
          </w:p>
        </w:tc>
        <w:tc>
          <w:tcPr>
            <w:tcW w:type="dxa" w:w="246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60%</w:t>
            </w:r>
          </w:p>
        </w:tc>
        <w:tc>
          <w:tcPr>
            <w:tcW w:type="dxa" w:w="246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90%</w:t>
            </w:r>
          </w:p>
        </w:tc>
        <w:tc>
          <w:tcPr>
            <w:tcW w:type="dxa" w:w="246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16,2 milhões</w:t>
            </w:r>
          </w:p>
        </w:tc>
      </w:tr>
    </w:tbl>
    <w:p>
      <w:pPr>
        <w:spacing w:after="40"/>
      </w:pPr>
    </w:p>
    <w:p>
      <w:r>
        <w:t>As taxas acima são hipóteses escolhidas para explorar sensibilidade, sem probabilidade atribuída. Empregos só podem ser estimados com custo integral por vaga, duração, adicionalidade e deslocamentos. Resultado ambiental exige linha de base, unidade física e verificação. Investimento mal planejado pode desperdiçar recursos; reserva parada perde poder de compra com inflação; vinculações rígidas podem prejudicar empresas em crise. Pilotos voluntários devem comparar alternativas antes de extrapolar.</w:t>
      </w:r>
    </w:p>
    <w:p>
      <w:pPr>
        <w:pStyle w:val="Heading1"/>
      </w:pPr>
      <w:r>
        <w:t>Integridade editorial e correções</w:t>
      </w:r>
    </w:p>
    <w:p>
      <w:r>
        <w:t>Priorizar danos materiais, prevenção e reparação antes de filantropia promocional. Doação não apaga violação grave. Separar compromisso, gasto, entrega e resultado. Evidência favorável e desfavorável recebe a mesma exigência de fonte. Empresas têm canal de resposta; correções preservam versão e data. Não vender nota, posição ou selo. Financiadores e conflitos de interesse precisam ser divulgados [2].</w:t>
      </w:r>
    </w:p>
    <w:p>
      <w:r>
        <w:t>Os desdobramentos governamental, esportivo, religioso, jurídico, ambiental e de saúde precisam de instrumentos próprios. A avaliação pessoal e familiar não integra este cadastro público: qualquer estudo futuro exige consentimento, privacidade e análise de comportamentos contextualizados, sem listas públicas de valor moral de pessoas.</w:t>
      </w:r>
    </w:p>
    <w:p>
      <w:pPr>
        <w:pStyle w:val="Heading1"/>
      </w:pPr>
      <w:r>
        <w:t>Plano de aperfeiçoamento</w:t>
      </w:r>
    </w:p>
    <w:p>
      <w:r>
        <w:t>1. Completar séries de cinco a dez anos e conciliar contas; testar fontes sociais junto aos beneficiários e obter respostas das empresas.</w:t>
      </w:r>
    </w:p>
    <w:p>
      <w:r>
        <w:t>2. Validar onze dimensões com especialistas, representantes de trabalhadores e consumidores; publicar concordância e sensibilidade.</w:t>
      </w:r>
    </w:p>
    <w:p>
      <w:r>
        <w:t>3. Pilotar humanização e simplicidade com métricas antes depois, desenho comparativo e monitoramento de efeitos adversos.</w:t>
      </w:r>
    </w:p>
    <w:p>
      <w:pPr>
        <w:pStyle w:val="Heading1"/>
      </w:pPr>
      <w:r>
        <w:t>Referências</w:t>
      </w:r>
    </w:p>
    <w:p>
      <w:r>
        <w:t>[1] IFRS Foundation. IAS 7 Statement of Cash Flows. Consulta 18/09/2026. https://www.ifrs.org/issued-standards/list-of-standards/ias-7-statement-of-cash-flows/</w:t>
      </w:r>
    </w:p>
    <w:p>
      <w:r>
        <w:t>[2] OECD. Guidelines for Multinational Enterprises on Responsible Business Conduct. 2023. https://www.oecd.org/en/publications/oecd-guidelines-for-multinational-enterprises-on-responsible-business-conduct_81f92357-en.html</w:t>
      </w:r>
    </w:p>
    <w:p>
      <w:r>
        <w:t>[3] ILO. Generative AI and Jobs A Refined Global Index of Occupational Exposure. 2025. https://www.ilo.org/publications/generative-ai-and-jobs-refined-global-index-occupational-exposure</w:t>
      </w:r>
    </w:p>
    <w:p>
      <w:pPr>
        <w:pStyle w:val="Heading1"/>
        <w:pageBreakBefore/>
      </w:pPr>
      <w:r>
        <w:t>Projeto separado Humanização da Tecnologia</w:t>
      </w:r>
    </w:p>
    <w:p>
      <w:r>
        <w:t>Versão 1.0 · 18/09/2026 · Idealização: Aldenir Rocha. Este documento organiza uma proposta de pesquisa e experimentação. Seus benefícios são hipóteses; não resultados demonstrados.</w:t>
      </w:r>
    </w:p>
    <w:p>
      <w:pPr>
        <w:pStyle w:val="Heading1"/>
      </w:pPr>
      <w:r>
        <w:t>Propósito</w:t>
      </w:r>
    </w:p>
    <w:p>
      <w:r>
        <w:t>Projetar tecnologias que ampliem capacidades, oportunidades e participação humana. O objetivo é favorecer trabalho útil, aprendizagem, autonomia e distribuição dos ganhos de produtividade, mantendo segurança e qualidade do serviço.</w:t>
      </w:r>
    </w:p>
    <w:p>
      <w:r>
        <w:t>A ideia autoral de fazer a tecnologia depender de atividades humanas ganha uma formulação operacional: construir funções nas quais julgamento, criatividade, cuidado, negociação e responsabilidade tenham participação relevante. A presença humana precisa agregar valor; inserir cliques obrigatórios ou trabalho repetitivo apenas para ocupar pessoas não atende ao propósito.</w:t>
      </w:r>
    </w:p>
    <w:p>
      <w:pPr>
        <w:pStyle w:val="Heading1"/>
      </w:pPr>
      <w:r>
        <w:t>Pesquisa inversa</w:t>
      </w:r>
    </w:p>
    <w:p>
      <w:r>
        <w:t>O ponto de partida deixa de ser apenas “qual tarefa pode ser automatizada?” e passa a incluir “qual capacidade humana esta tecnologia permite desenvolver e exercer?”. Antes de escolher uma solução, mapear atividades atuais, necessidades não atendidas e obstáculos relatados pelos trabalhadores e usuários.</w:t>
      </w:r>
    </w:p>
    <w:p>
      <w:r>
        <w:t>Para cada proposta, registrar a atividade humana habilitada, quem poderá exercê-la, quais competências serão necessárias, como será remunerada e quem responderá pelos resultados. Procurar também tarefas perigosas ou desgastantes que possam ser removidas sem retirar autonomia ou renda. Uma função criada precisa ter utilidade identificável para alguém, não apenas um novo título.</w:t>
      </w:r>
    </w:p>
    <w:p>
      <w:pPr>
        <w:pStyle w:val="Heading1"/>
      </w:pPr>
      <w:r>
        <w:t>Aprendizagem criativa e complementaridade</w:t>
      </w:r>
    </w:p>
    <w:p>
      <w:r>
        <w:t>A educação proposta combina domínio técnico, formulação de perguntas, comparação de alternativas, experimentação e reflexão sobre erros. “Pensar fora da caixa” será traduzido em comportamentos observáveis: propor soluções distintas, testar suposições, reconhecer limitações e incorporar feedback.</w:t>
      </w:r>
    </w:p>
    <w:p>
      <w:r>
        <w:t>Oferecer aprendizagem em horário remunerado, com materiais acessíveis e oportunidades reais de aplicação. Participantes devem contribuir para redesenhar o trabalho, não apenas aprender a operar uma ferramenta definida sem sua participação. Avaliar se pessoas com diferentes níveis de escolaridade, idade e deficiência conseguem participar.</w:t>
      </w:r>
    </w:p>
    <w:p>
      <w:r>
        <w:t>A automação pode assumir tarefas delimitadas enquanto pessoas definem objetivos, resolvem exceções e contestam resultados. Supervisão só é significativa quando há tempo, informação e autoridade para intervir. Manter alguém formalmente “no circuito” não basta.</w:t>
      </w:r>
    </w:p>
    <w:p>
      <w:pPr>
        <w:pStyle w:val="Heading1"/>
      </w:pPr>
      <w:r>
        <w:t>Tecnologia simples e personalizada</w:t>
      </w:r>
    </w:p>
    <w:p>
      <w:r>
        <w:t>Priorizar a função necessária, linguagem clara, opções progressivas, padrões reversíveis e recuperação de erros. Personalização deve reduzir esforço e respeitar preferências; não significa multiplicar menus, coletar dados desnecessários ou criar dependência.</w:t>
      </w:r>
    </w:p>
    <w:p>
      <w:r>
        <w:t>Medir se o usuário consegue concluir a tarefa sozinho, entender o resultado e pedir apoio humano quando necessário. Preservar alternativas assistivas: eliminar uma automação pode reduzir a independência de alguém. O desenho deve considerar esse efeito, além da preservação de postos de trabalho.</w:t>
      </w:r>
    </w:p>
    <w:p>
      <w:pPr>
        <w:pStyle w:val="Heading1"/>
      </w:pPr>
      <w:r>
        <w:t>Política proposta e limites</w:t>
      </w:r>
    </w:p>
    <w:p>
      <w:r>
        <w:t>O idealizador propõe controle tecnológico e restrição à substituição de pessoas por máquinas enquanto educação e transição profissional forem insuficientes. Trata-se de posição política do autor; este documento não afirma que corresponda à legislação em vigor. Obrigações aplicáveis exigem verificação por jurisdição e setor.</w:t>
      </w:r>
    </w:p>
    <w:p>
      <w:r>
        <w:t>Uma versão inicial para teste é um compromisso voluntário: avaliar impactos antes da adoção, consultar trabalhadores, oferecer formação e realocação e documentar efeitos sobre renda e emprego. A discussão de proibição geral deve examinar tarefas perigosas, acessibilidade, pequenas empresas, custos e possibilidade de deslocar contratações para outros locais.</w:t>
      </w:r>
    </w:p>
    <w:p>
      <w:pPr>
        <w:pStyle w:val="Heading1"/>
      </w:pPr>
      <w:r>
        <w:t>Indicadores do piloto</w:t>
      </w:r>
    </w:p>
    <w:tbl>
      <w:tblPr>
        <w:tblW w:type="auto" w:w="0"/>
        <w:jc w:val="center"/>
        <w:tblLayout w:type="fixed"/>
        <w:tblLook w:firstColumn="1" w:firstRow="1" w:lastColumn="0" w:lastRow="0" w:noHBand="0" w:noVBand="1" w:val="04A0"/>
      </w:tblPr>
      <w:tblGrid>
        <w:gridCol w:w="4933"/>
        <w:gridCol w:w="4933"/>
      </w:tblGrid>
      <w:tr>
        <w:trPr>
          <w:tblHeader/>
          <w:cantSplit/>
        </w:trPr>
        <w:tc>
          <w:tcPr>
            <w:tcW w:type="dxa" w:w="4933"/>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Dimensão</w:t>
            </w:r>
          </w:p>
        </w:tc>
        <w:tc>
          <w:tcPr>
            <w:tcW w:type="dxa" w:w="4933"/>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Medida proposta</w:t>
            </w:r>
          </w:p>
        </w:tc>
      </w:tr>
      <w:tr>
        <w:trPr>
          <w:cantSplit/>
        </w:trPr>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Trabalho e renda</w:t>
            </w:r>
          </w:p>
        </w:tc>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Postos equivalentes a tempo integral, renda mediana real, horas e distribuição dos ganhos.</w:t>
            </w:r>
          </w:p>
        </w:tc>
      </w:tr>
      <w:tr>
        <w:trPr>
          <w:cantSplit/>
        </w:trPr>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Aprendizagem</w:t>
            </w:r>
          </w:p>
        </w:tc>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Horas remuneradas, competência demonstrada e aplicação de propostas dos participantes.</w:t>
            </w:r>
          </w:p>
        </w:tc>
      </w:tr>
      <w:tr>
        <w:trPr>
          <w:cantSplit/>
        </w:trPr>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Mobilidade</w:t>
            </w:r>
          </w:p>
        </w:tc>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Realocações, promoções, perdas involuntárias de emprego e qualidade das novas funções.</w:t>
            </w:r>
          </w:p>
        </w:tc>
      </w:tr>
      <w:tr>
        <w:trPr>
          <w:cantSplit/>
        </w:trPr>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Autonomia</w:t>
            </w:r>
          </w:p>
        </w:tc>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Capacidade de contestar, revisar decisões e concluir tarefas sem ajuda.</w:t>
            </w:r>
          </w:p>
        </w:tc>
      </w:tr>
      <w:tr>
        <w:trPr>
          <w:cantSplit/>
        </w:trPr>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Experiência</w:t>
            </w:r>
          </w:p>
        </w:tc>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Satisfação anônima, taxa de resposta, carga percebida e diferenças entre grupos.</w:t>
            </w:r>
          </w:p>
        </w:tc>
      </w:tr>
      <w:tr>
        <w:trPr>
          <w:cantSplit/>
        </w:trPr>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Serviço e segurança</w:t>
            </w:r>
          </w:p>
        </w:tc>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Qualidade, erros, retrabalho, incidentes e tempo por tarefa.</w:t>
            </w:r>
          </w:p>
        </w:tc>
      </w:tr>
    </w:tbl>
    <w:p>
      <w:pPr>
        <w:spacing w:after="40"/>
      </w:pPr>
    </w:p>
    <w:p>
      <w:r>
        <w:t>Nenhuma medida isolada comprova humanização. Aumento de produtividade acompanhado de sobrecarga ou redução de renda exige interpretação conjunta.</w:t>
      </w:r>
    </w:p>
    <w:p>
      <w:pPr>
        <w:pStyle w:val="Heading1"/>
      </w:pPr>
      <w:r>
        <w:t>Piloto, avaliação e próximos passos</w:t>
      </w:r>
    </w:p>
    <w:p>
      <w:r>
        <w:t>Selecionar uma atividade administrativa reversível e de risco limitado, com participação voluntária e representação dos trabalhadores. Registrar a situação inicial e comparar a rotina habitual com a proposta assistida, usando implantação gradual ou outro desenho adequado. Definir previamente duração, critérios de interrupção, proteção dos registros e responsáveis, conforme a atividade; não adotar prazo universal arbitrário.</w:t>
      </w:r>
    </w:p>
    <w:p>
      <w:r>
        <w:t>Resultados antes/depois podem refletir aprendizagem, seleção de participantes ou outras mudanças. Quando possível, incluir comparação e relatar essas limitações. Examinar custos de formação, supervisão, manutenção e suporte, além de produtividade. O piloto deve poder terminar com revisão ou abandono da solução.</w:t>
      </w:r>
    </w:p>
    <w:p>
      <w:r>
        <w:t>Os próximos passos são escolher a atividade com seus participantes, pactuar indicadores e condições de reversão e testar um protótipo simples. Expandir somente após examinar benefícios, danos e viabilidade. O ÍNDOLE 360° poderá catalogar evidências desse projeto, preservando sua identidade separada e a distinção entre proposta, execução e resultado.</w:t>
      </w:r>
    </w:p>
    <w:p>
      <w:pPr>
        <w:pStyle w:val="Heading1"/>
        <w:pageBreakBefore/>
      </w:pPr>
      <w:r>
        <w:t>Estratégia de adoção e validação</w:t>
      </w:r>
    </w:p>
    <w:p>
      <w:r>
        <w:t>Versão 1.0 · 18/09/2026 · Idealização: Aldenir Rocha. Estruturação pela skill Núcleo Estratégico Atomic. Documento de estratégia em validação; não representa certificação empresarial ou recomendação de investimento.</w:t>
      </w:r>
    </w:p>
    <w:p>
      <w:pPr>
        <w:pStyle w:val="Heading1"/>
      </w:pPr>
      <w:r>
        <w:t>1. Diagnóstico da proposta</w:t>
      </w:r>
    </w:p>
    <w:p>
      <w:r>
        <w:t>Estado B: proposta definida, com validação de uso e sustentabilidade pendente. Existe um catálogo com metodologia e fichas documentadas; não foram apresentados dados que comprovem demanda, vendas, retenção ou melhoria das decisões de consumo. O principal obstáculo é converter análise institucional extensa em uma escolha cotidiana compreensível.</w:t>
      </w:r>
    </w:p>
    <w:p>
      <w:r>
        <w:t>Marketing precisa testar reconhecimento do problema; vendas e preço permanecem indefinidos; o serviço precisa demonstrar utilidade; a operação precisa medir o esforço de atualização. A decisão é refinar o foco, preservando o catálogo existente. Ampliar imediatamente para governos, religiões e pessoas tornaria a entrega menos verificável.</w:t>
      </w:r>
    </w:p>
    <w:p>
      <w:pPr>
        <w:pStyle w:val="Heading1"/>
      </w:pPr>
      <w:r>
        <w:t>2. Cliente reconhecível</w:t>
      </w:r>
    </w:p>
    <w:p>
      <w:r>
        <w:t>Hipótese prioritária: consumidor brasileiro que vai contratar ou renovar armazenamento pessoal em nuvem e deseja considerar a conduta da empresa dentro de seu orçamento.</w:t>
      </w:r>
    </w:p>
    <w:p>
      <w:r>
        <w:t>Esse usuário conhece marcas, compara espaço e preço, mas não costuma interpretar demonstrações financeiras. Pode ter consultado avaliações e páginas de sustentabilidade sem conseguir relacioná-las à contratação. Sua capacidade de decidir existe; disponibilidade de tempo, disposição para pagar pelo catálogo e frequência do problema precisam ser investigadas. A renovação ou nova contratação é a ocasião concreta de uso.</w:t>
      </w:r>
    </w:p>
    <w:p>
      <w:pPr>
        <w:pStyle w:val="Heading1"/>
      </w:pPr>
      <w:r>
        <w:t>3. Mercado de entrada e trabalho necessário</w:t>
      </w:r>
    </w:p>
    <w:p>
      <w:r>
        <w:t>Na classificação Atomic, a entrada é dinheiro: uso consciente do orçamento, sem promessa de renda ou valorização patrimonial. Uma linha, um usuário e um resultado: apoiar essa contratação.</w:t>
      </w:r>
    </w:p>
    <w:p>
      <w:r>
        <w:t>O usuário deseja escolher um serviço adequado. O trabalho necessário é distinguir função, custo total, evidência empresarial e preferência ética. O catálogo geral das dez empresas continua como base de pesquisa; o primeiro teste de decisão pode concentrar-se nos serviços de Apple, Microsoft e Google, após verificar disponibilidade e condições brasileiras.</w:t>
      </w:r>
    </w:p>
    <w:p>
      <w:pPr>
        <w:pStyle w:val="Heading1"/>
      </w:pPr>
      <w:r>
        <w:t>4. Desejo externo observável</w:t>
      </w:r>
    </w:p>
    <w:p>
      <w:r>
        <w:t>Cena: diante da renovação, o consumidor abre uma comparação, confirma quais opções atendem à necessidade, lê evidências e limitações e registra por que escolheu contratar, manter ou adiar.</w:t>
      </w:r>
    </w:p>
    <w:p>
      <w:r>
        <w:t>O benefício pretendido é conseguir justificar a decisão sem transformar a compra em investigação pessoal interminável. Sentir confiança é desejável, mas a confiança precisa corresponder à qualidade das informações.</w:t>
      </w:r>
    </w:p>
    <w:p>
      <w:pPr>
        <w:pStyle w:val="Heading1"/>
      </w:pPr>
      <w:r>
        <w:t>5. Resultado Medível e Quantificável   RMC</w:t>
      </w:r>
    </w:p>
    <w:p>
      <w:r>
        <w:t>RMC proposto para validar: concluir uma decisão de contratação ou renovação documentada, relacionando necessidade funcional, custo total verificado, evidências de conduta, lacunas e motivo da escolha.</w:t>
      </w:r>
    </w:p>
    <w:p>
      <w:r>
        <w:t>Verificação: um terceiro consegue reconstruir a decisão pelas fontes e identificar quais fatores foram fatos ou preferências. A tarefa também pode terminar em adiamento fundamentado por informação insuficiente.</w:t>
      </w:r>
    </w:p>
    <w:p>
      <w:r>
        <w:t>Prazo: não estabelecido. Tempo de conclusão, erros de interpretação e esforço percebido serão medidos no piloto antes de qualquer promessa. Comprar uma opção indicada não é condição de sucesso, pois a autonomia do consumidor deve ser preservada.</w:t>
      </w:r>
    </w:p>
    <w:p>
      <w:pPr>
        <w:pStyle w:val="Heading1"/>
      </w:pPr>
      <w:r>
        <w:t>6. Alternativa habitual e causa</w:t>
      </w:r>
    </w:p>
    <w:p>
      <w:r>
        <w:t>A alternativa provável é combinar comparação de preços, avaliações de usuários, publicidade e relatórios corporativos. Hipótese de causa percebida: falta de conhecimento para identificar empresas responsáveis. Hipótese de causa estrutural: informação fragmentada, critérios incompatíveis e dificuldade de distinguir declaração, execução e resultado.</w:t>
      </w:r>
    </w:p>
    <w:p>
      <w:r>
        <w:t>Isso não significa que comparadores existentes sejam inúteis ou desonestos. A oportunidade é organizar essas camadas numa decisão auditável. Entrevistas devem verificar se essa dificuldade realmente explica a experiência do público escolhido.</w:t>
      </w:r>
    </w:p>
    <w:p>
      <w:pPr>
        <w:pStyle w:val="Heading1"/>
      </w:pPr>
      <w:r>
        <w:t>7. Método reconhecido e nome</w:t>
      </w:r>
    </w:p>
    <w:p>
      <w:r>
        <w:t>Método: pesquisa documental e comparação de consumo apoiadas por software. Nome: ÍNDOLE 360°. O nome comunica a visão; o método precisa explicar como uma conclusão é obtida e corrigida.</w:t>
      </w:r>
    </w:p>
    <w:p>
      <w:r>
        <w:t>O modelo autoral 30/30/30/10 aparece como preferência normativa e simulação separada. Despesas anteriores ao lucro não serão reclassificadas como destinação adicional, e aplicação financeira não será apresentada como prova automática de desonestidade.</w:t>
      </w:r>
    </w:p>
    <w:p>
      <w:pPr>
        <w:pStyle w:val="Heading1"/>
      </w:pPr>
      <w:r>
        <w:t>8. Diferencial estrutural</w:t>
      </w:r>
    </w:p>
    <w:p>
      <w:r>
        <w:t>A entrega proposta liga cada afirmação relevante a fonte, período, unidade, qualidade da evidência e objeção possível. Separa avaliação da empresa de adequação do produto, preserva dados ausentes e registra correções e respostas empresariais.</w:t>
      </w:r>
    </w:p>
    <w:p>
      <w:r>
        <w:t>Isso modifica a entrega: uma conclusão só aparece com fundamentação; uma lacuna permanece visível; uma decisão pode ser revista quando surgem fatos novos. O diferencial precisa ser demonstrado numa comparação funcional. Não há evidência suficiente para afirmar superioridade comercial frente a todos os concorrentes.</w:t>
      </w:r>
    </w:p>
    <w:p>
      <w:pPr>
        <w:pStyle w:val="Heading1"/>
      </w:pPr>
      <w:r>
        <w:t>9. Autoridade e prova</w:t>
      </w:r>
    </w:p>
    <w:p>
      <w:r>
        <w:t>A confiança deverá vir da rastreabilidade, revisão, abertura dos critérios e correção de erros. Credenciais médicas do idealizador não constituem autoridade em auditoria contábil, direito concorrencial ou avaliação de impacto. Revisores especializados deverão ser identificados quando efetivamente participarem.</w:t>
      </w:r>
    </w:p>
    <w:p>
      <w:r>
        <w:t>As fichas e fontes existentes demonstram trabalho de documentação. Ainda faltam testes com consumidores, concordância entre avaliadores, revisão externa e evidência de utilidade. Não há garantia de compra superior, mudança empresarial ou resultado social.</w:t>
      </w:r>
    </w:p>
    <w:p>
      <w:pPr>
        <w:pStyle w:val="Heading1"/>
      </w:pPr>
      <w:r>
        <w:t>10. Mecanismo provisório  exatamente três resultados</w:t>
      </w:r>
    </w:p>
    <w:p>
      <w:r>
        <w:t>1. Alternativas viáveis reconhecidas. O usuário identifica serviços que atendem à necessidade e ao orçamento. Evidência: requisitos e condições atuais registrados. Isso evita que uma boa avaliação corporativa esconda um produto inadequado.</w:t>
      </w:r>
    </w:p>
    <w:p>
      <w:r>
        <w:t>2. Diferenças relevantes compreendidas. O usuário distingue condutas documentadas, incertezas e preferências próprias. Evidência: consegue apontar fonte, período e limitação dos fatores usados. Isso prepara uma comparação fundamentada.</w:t>
      </w:r>
    </w:p>
    <w:p>
      <w:r>
        <w:t>3. Escolha explicável e revisável. O usuário registra contratação, manutenção ou adiamento e o que poderia mudar sua decisão. Evidência: registro reconstruível por terceiro. Esse resultado conclui o RMC sem impor uma marca.</w:t>
      </w:r>
    </w:p>
    <w:p>
      <w:pPr>
        <w:pStyle w:val="Heading1"/>
      </w:pPr>
      <w:r>
        <w:t>11. Seis objeções e respostas estruturais</w:t>
      </w:r>
    </w:p>
    <w:tbl>
      <w:tblPr>
        <w:tblW w:type="auto" w:w="0"/>
        <w:jc w:val="center"/>
        <w:tblLayout w:type="fixed"/>
        <w:tblLook w:firstColumn="1" w:firstRow="1" w:lastColumn="0" w:lastRow="0" w:noHBand="0" w:noVBand="1" w:val="04A0"/>
      </w:tblPr>
      <w:tblGrid>
        <w:gridCol w:w="4933"/>
        <w:gridCol w:w="4933"/>
      </w:tblGrid>
      <w:tr>
        <w:trPr>
          <w:tblHeader/>
          <w:cantSplit/>
        </w:trPr>
        <w:tc>
          <w:tcPr>
            <w:tcW w:type="dxa" w:w="4933"/>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Objeção</w:t>
            </w:r>
          </w:p>
        </w:tc>
        <w:tc>
          <w:tcPr>
            <w:tcW w:type="dxa" w:w="4933"/>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Resposta incorporada à entrega proposta</w:t>
            </w:r>
          </w:p>
        </w:tc>
      </w:tr>
      <w:tr>
        <w:trPr>
          <w:cantSplit/>
        </w:trPr>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Tempo: “Não consigo ler tantos relatórios.”</w:t>
            </w:r>
          </w:p>
        </w:tc>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Resumo por decisão, detalhes progressivos e ligação direta às fontes; medir tempo real no piloto.</w:t>
            </w:r>
          </w:p>
        </w:tc>
      </w:tr>
      <w:tr>
        <w:trPr>
          <w:cantSplit/>
        </w:trPr>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Dinheiro: “A opção responsável pode ser cara.”</w:t>
            </w:r>
          </w:p>
        </w:tc>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Filtrar primeiro por necessidade e orçamento, mostrar custo total e permitir manter o serviço atual.</w:t>
            </w:r>
          </w:p>
        </w:tc>
      </w:tr>
      <w:tr>
        <w:trPr>
          <w:cantSplit/>
        </w:trPr>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Acompanhamento: “E se eu ficar em dúvida?”</w:t>
            </w:r>
          </w:p>
        </w:tc>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Glossário, exemplos e canal delimitado para dúvidas e correções, com capacidade explicitada.</w:t>
            </w:r>
          </w:p>
        </w:tc>
      </w:tr>
      <w:tr>
        <w:trPr>
          <w:cantSplit/>
        </w:trPr>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Capacidade: “Não entendo contabilidade.”</w:t>
            </w:r>
          </w:p>
        </w:tc>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Explicação simples de cada indicador, sem exigir interpretação de balanços para concluir a tarefa.</w:t>
            </w:r>
          </w:p>
        </w:tc>
      </w:tr>
      <w:tr>
        <w:trPr>
          <w:cantSplit/>
        </w:trPr>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Confiança no responsável: “Quem avalia?”</w:t>
            </w:r>
          </w:p>
        </w:tc>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Autoria, conflitos, revisores, histórico de alterações e direito de resposta visíveis.</w:t>
            </w:r>
          </w:p>
        </w:tc>
      </w:tr>
      <w:tr>
        <w:trPr>
          <w:cantSplit/>
        </w:trPr>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Confiança no método: “A nota pode ser arbitrária.”</w:t>
            </w:r>
          </w:p>
        </w:tc>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Critérios públicos, incerteza, análise de sensibilidade e suspensão da nota quando faltarem evidências.</w:t>
            </w:r>
          </w:p>
        </w:tc>
      </w:tr>
    </w:tbl>
    <w:p>
      <w:pPr>
        <w:spacing w:after="40"/>
      </w:pPr>
    </w:p>
    <w:p>
      <w:pPr>
        <w:pStyle w:val="Heading1"/>
      </w:pPr>
      <w:r>
        <w:t>12. Frase Dominó</w:t>
      </w:r>
    </w:p>
    <w:p>
      <w:r>
        <w:t>Hipótese estratégica interna, sujeita a teste:</w:t>
      </w:r>
    </w:p>
    <w:p>
      <w:r>
        <w:t>Se eu puder demonstrar que relacionar evidências verificáveis às necessidades da compra é a chave para escolher um serviço coerente com o orçamento e os valores do consumidor, e que a forma mais eficaz de conseguir isso é por meio de alternativas viáveis reconhecidas, diferenças relevantes compreendidas e escolha explicável e revisável, então o restante de suas objeções perderá importância.</w:t>
      </w:r>
    </w:p>
    <w:p>
      <w:r>
        <w:t>O superlativo dessa formulação não será usado como alegação pública sem comparação demonstrável.</w:t>
      </w:r>
    </w:p>
    <w:p>
      <w:pPr>
        <w:pStyle w:val="Heading1"/>
      </w:pPr>
      <w:r>
        <w:t>13. Oferta núcleo proposta</w:t>
      </w:r>
    </w:p>
    <w:p>
      <w:r>
        <w:t>Ajudamos consumidores brasileiros que contratam ou renovam armazenamento em nuvem a concluir uma escolha explicável, por meio do catálogo ÍNDOLE 360°, que conecta adequação do serviço e evidências de conduta sem exigir leitura integral dos relatórios empresariais.</w:t>
      </w:r>
    </w:p>
    <w:p>
      <w:pPr>
        <w:pStyle w:val="Heading1"/>
      </w:pPr>
      <w:r>
        <w:t>14. Sustentabilidade operacional</w:t>
      </w:r>
    </w:p>
    <w:p>
      <w:r>
        <w:t>O escopo inicial deverá limitar serviços, campos e revisões à capacidade disponível. Registrar horas do fundador, custo por ficha, ferramentas, revisão especializada, manutenção e atendimento. Definir capacidade máxima somente após medir essa carga; não prometer acompanhamento ilimitado ou monitoramento contínuo.</w:t>
      </w:r>
    </w:p>
    <w:p>
      <w:r>
        <w:t>Hipótese de financiamento: acesso público ao núcleo, sustentado por contribuições transparentes, com eventual serviço pago delimitado apenas após validação. Preço, margem e equipe estão pendentes. Pagamento de empresas não poderá comprar nota, posição ou retirada de evidência. O usuário decide e verifica condições da contratação; o catálogo documenta e explica, sem contratar em seu nome.</w:t>
      </w:r>
    </w:p>
    <w:p>
      <w:pPr>
        <w:pStyle w:val="Heading1"/>
      </w:pPr>
      <w:r>
        <w:t>15. Validação, qualidade e próximos passos</w:t>
      </w:r>
    </w:p>
    <w:p>
      <w:r>
        <w:t>Confirmado: intenção, metodologia e documentação inicial. Hipóteses: público de entrada, mecanismo, utilidade e financiamento. Pendentes: preços locais, funções dos serviços, custos operacionais e resultados de uso. Não utilizáveis como promessa: empregos gerados, impacto ambiental ou mudança de comportamento empresarial.</w:t>
      </w:r>
    </w:p>
    <w:p>
      <w:r>
        <w:t>A revisão adversarial atribui as seguintes notas editoriais internas à formulação; elas não são resultados de pesquisa:</w:t>
      </w:r>
    </w:p>
    <w:tbl>
      <w:tblPr>
        <w:tblW w:type="auto" w:w="0"/>
        <w:jc w:val="center"/>
        <w:tblLayout w:type="fixed"/>
        <w:tblLook w:firstColumn="1" w:firstRow="1" w:lastColumn="0" w:lastRow="0" w:noHBand="0" w:noVBand="1" w:val="04A0"/>
      </w:tblPr>
      <w:tblGrid>
        <w:gridCol w:w="4933"/>
        <w:gridCol w:w="4933"/>
      </w:tblGrid>
      <w:tr>
        <w:trPr>
          <w:tblHeader/>
          <w:cantSplit/>
        </w:trPr>
        <w:tc>
          <w:tcPr>
            <w:tcW w:type="dxa" w:w="4933"/>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Critério Atomic</w:t>
            </w:r>
          </w:p>
        </w:tc>
        <w:tc>
          <w:tcPr>
            <w:tcW w:type="dxa" w:w="4933"/>
            <w:vAlign w:val="center"/>
            <w:tcBorders>
              <w:top w:val="single" w:sz="4" w:color="D9D9D9"/>
              <w:left w:val="single" w:sz="4" w:color="D9D9D9"/>
              <w:bottom w:val="single" w:sz="4" w:color="D9D9D9"/>
              <w:right w:val="single" w:sz="4" w:color="D9D9D9"/>
            </w:tcBorders>
            <w:shd w:fill="173C35"/>
            <w:tcMar>
              <w:top w:w="75" w:type="dxa"/>
              <w:bottom w:w="75" w:type="dxa"/>
              <w:left w:w="75" w:type="dxa"/>
              <w:right w:w="75" w:type="dxa"/>
            </w:tcMar>
          </w:tcPr>
          <w:p>
            <w:pPr>
              <w:spacing w:after="40" w:before="40"/>
            </w:pPr>
            <w:r>
              <w:rPr>
                <w:b/>
                <w:color w:val="FFFFFF"/>
                <w:sz w:val="18"/>
              </w:rPr>
              <w:t>Nota /10</w:t>
            </w:r>
          </w:p>
        </w:tc>
      </w:tr>
      <w:tr>
        <w:trPr>
          <w:cantSplit/>
        </w:trPr>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Cliente</w:t>
            </w:r>
          </w:p>
        </w:tc>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8</w:t>
            </w:r>
          </w:p>
        </w:tc>
      </w:tr>
      <w:tr>
        <w:trPr>
          <w:cantSplit/>
        </w:trPr>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Desejo</w:t>
            </w:r>
          </w:p>
        </w:tc>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8</w:t>
            </w:r>
          </w:p>
        </w:tc>
      </w:tr>
      <w:tr>
        <w:trPr>
          <w:cantSplit/>
        </w:trPr>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Qualidade da hipótese de RMC</w:t>
            </w:r>
          </w:p>
        </w:tc>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8</w:t>
            </w:r>
          </w:p>
        </w:tc>
      </w:tr>
      <w:tr>
        <w:trPr>
          <w:cantSplit/>
        </w:trPr>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Método</w:t>
            </w:r>
          </w:p>
        </w:tc>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8</w:t>
            </w:r>
          </w:p>
        </w:tc>
      </w:tr>
      <w:tr>
        <w:trPr>
          <w:cantSplit/>
        </w:trPr>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Diferencial proposto</w:t>
            </w:r>
          </w:p>
        </w:tc>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8</w:t>
            </w:r>
          </w:p>
        </w:tc>
      </w:tr>
      <w:tr>
        <w:trPr>
          <w:cantSplit/>
        </w:trPr>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Mecanismo</w:t>
            </w:r>
          </w:p>
        </w:tc>
        <w:tc>
          <w:tcPr>
            <w:tcW w:type="dxa" w:w="4933"/>
            <w:vAlign w:val="center"/>
            <w:tcBorders>
              <w:top w:val="single" w:sz="4" w:color="D9D9D9"/>
              <w:left w:val="single" w:sz="4" w:color="D9D9D9"/>
              <w:bottom w:val="single" w:sz="4" w:color="D9D9D9"/>
              <w:right w:val="single" w:sz="4" w:color="D9D9D9"/>
            </w:tcBorders>
            <w:shd w:fill="F0F4EC"/>
            <w:tcMar>
              <w:top w:w="75" w:type="dxa"/>
              <w:bottom w:w="75" w:type="dxa"/>
              <w:left w:w="75" w:type="dxa"/>
              <w:right w:w="75" w:type="dxa"/>
            </w:tcMar>
          </w:tcPr>
          <w:p>
            <w:pPr>
              <w:spacing w:after="40" w:before="40"/>
            </w:pPr>
            <w:r>
              <w:rPr>
                <w:b w:val="0"/>
                <w:color w:val="000000"/>
                <w:sz w:val="18"/>
              </w:rPr>
              <w:t>8</w:t>
            </w:r>
          </w:p>
        </w:tc>
      </w:tr>
      <w:tr>
        <w:trPr>
          <w:cantSplit/>
        </w:trPr>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Credibilidade demonstrada</w:t>
            </w:r>
          </w:p>
        </w:tc>
        <w:tc>
          <w:tcPr>
            <w:tcW w:type="dxa" w:w="4933"/>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color w:val="000000"/>
                <w:sz w:val="18"/>
              </w:rPr>
              <w:t>6</w:t>
            </w:r>
          </w:p>
        </w:tc>
      </w:tr>
    </w:tbl>
    <w:p>
      <w:pPr>
        <w:spacing w:after="40"/>
      </w:pPr>
    </w:p>
    <w:p>
      <w:r>
        <w:t>A credibilidade permanece abaixo do mínimo Atomic de 8 porque faltam testes de utilidade e revisão externa. Veredicto: revisar antes da aprovação comercial; estrutura disponível como hipótese para piloto. A sustentabilidade operacional também precisa ser demonstrada.</w:t>
      </w:r>
    </w:p>
    <w:p>
      <w:r>
        <w:t>Próximos passos: verificar uma comparação funcional completa; observar consumidores tomando uma decisão e registrar erros, compreensão e esforço; revisar metodologia e capacidade antes de expandir. Publicar também resultados desfavoráveis. A referência editorial é METODOLOGIA.md.</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ÍNDOLE 360  |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ÍNDOLE 360 metodologia e projetos</dc:title>
  <dc:subject/>
  <dc:creator>Aldenir Rocha de Oliveira Filho</dc:creator>
  <cp:keywords/>
  <dc:description>generated by python-docx</dc:description>
  <cp:lastModifiedBy/>
  <cp:revision>1</cp:revision>
  <dcterms:created xsi:type="dcterms:W3CDTF">2013-12-23T23:15:00Z</dcterms:created>
  <dcterms:modified xsi:type="dcterms:W3CDTF">2013-12-23T23:15:00Z</dcterms:modified>
  <cp:category/>
</cp:coreProperties>
</file>