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ÍNDOLE 360 catálogo das empresas</w:t>
      </w:r>
    </w:p>
    <w:p>
      <w:pPr>
        <w:pStyle w:val="Subtitle"/>
      </w:pPr>
      <w:r>
        <w:t>Dez grandes empresas  |  Base 17 setembro 2026  |  v2.0</w:t>
      </w:r>
    </w:p>
    <w:p>
      <w:r>
        <w:t>Amostra selecionada por valor de mercado, não por conduta. Dez fichas documentais com informações financeiras, impactos e sugestões. Notas gerais e aderência 30/30/30/10 ainda não concluídas; faltam conciliação de recursos e revisão das onze dimensões.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329"/>
        <w:gridCol w:w="2268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Setor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Exercício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NVIDIA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Semicondutores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Apple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Dispositivos e serviços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Alphabet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Plataformas e publicidade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Microsoft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Software e nuvem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Amazon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Varejo e nuvem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TSMC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Semicondutores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SpaceX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Espaço conectividade e IA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Meta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Plataformas e publicidade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Broadcom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Semicondutores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Saudi Aramco</w:t>
            </w:r>
          </w:p>
        </w:tc>
        <w:tc>
          <w:tcPr>
            <w:tcW w:type="dxa" w:w="53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Energia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</w:tbl>
    <w:p>
      <w:pPr>
        <w:spacing w:after="40"/>
      </w:pPr>
    </w:p>
    <w:p>
      <w:r>
        <w:t>mi = milhões; USD = dólar dos Estados Unidos; TWD = dólar de Taiwan; P&amp;D = pesquisa e desenvolvimento. Os períodos fiscais diferem. Ausência de dado não significa ausência de ação. Fontes corporativas não substituem verificação independente de impacto.</w:t>
      </w:r>
    </w:p>
    <w:p>
      <w:hyperlink r:id="rId10">
        <w:r>
          <w:rPr>
            <w:color w:val="225A46"/>
          </w:rPr>
          <w:t>Seleção CompaniesMarketCap consultada em 18/09/2026 com fotografia de 17/09/2026</w:t>
        </w:r>
      </w:hyperlink>
    </w:p>
    <w:p>
      <w:hyperlink r:id="rId11">
        <w:r>
          <w:rPr>
            <w:color w:val="225A46"/>
          </w:rPr>
          <w:t>Site com fichas completas e fontes por campo</w:t>
        </w:r>
      </w:hyperlink>
    </w:p>
    <w:p>
      <w:r>
        <w:br w:type="page"/>
      </w:r>
    </w:p>
    <w:p>
      <w:pPr>
        <w:pStyle w:val="Heading1"/>
      </w:pPr>
      <w:r>
        <w:t>NVIDIA</w:t>
      </w:r>
    </w:p>
    <w:p>
      <w:r>
        <w:t>Semicondutores | Estados Unidos | NVDA</w:t>
      </w:r>
    </w:p>
    <w:p>
      <w:r>
        <w:t>Vende GPUs, sistemas, redes e plataformas de computação acelerada; software e serviços complementam hardware. Modelo fabless: fabricação terceirizada.</w:t>
      </w:r>
    </w:p>
    <w:p>
      <w:r>
        <w:t>Há investimento em pesquisa e evidências corporativas de iniciativas ambientais e sociais. A contribuição própria precisa ser separada das doações dos empregados, e impacto e valorização do trabalho ainda exigem verificação.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215.938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120.067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P&amp;D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18.497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CAPEX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6.042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Dividendos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974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Recompras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40.086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Empregados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 xml:space="preserve"> 42.000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2026-01-25</w:t>
            </w:r>
          </w:p>
        </w:tc>
      </w:tr>
    </w:tbl>
    <w:p>
      <w:pPr>
        <w:spacing w:after="40"/>
      </w:pPr>
    </w:p>
    <w:p>
      <w:r>
        <w:t xml:space="preserve">Rubricas não somáveis.  </w:t>
      </w:r>
    </w:p>
    <w:p>
      <w:pPr>
        <w:pStyle w:val="Heading2"/>
      </w:pPr>
      <w:r>
        <w:t>Impacto trabalho e aplicações</w:t>
      </w:r>
    </w:p>
    <w:p>
      <w:r>
        <w:t>Social e ambiente: Relatório FY26 declara 100% de eletricidade limpa comprada ou gerada. Escopos 1+2, pela abordagem de mercado: 10.390 tCO2e; escopo 3 reportado: 10.700.940 tCO2e. Não significa energia limpa disponível a cada hora nem toda a cadeia sem emissões; verificar escopo de cada asseguração.</w:t>
      </w:r>
      <w:hyperlink r:id="rId12">
        <w:r>
          <w:rPr>
            <w:color w:val="225A46"/>
          </w:rPr>
          <w:t> [fonte]</w:t>
        </w:r>
      </w:hyperlink>
    </w:p>
    <w:p>
      <w:r>
        <w:t>Trabalho: Declara rotatividade de 3,7% e programas de desenvolvimento e reembolso educacional. Rotatividade não mede satisfação nem oportunidades de progressão.</w:t>
      </w:r>
      <w:hyperlink r:id="rId13">
        <w:r>
          <w:rPr>
            <w:color w:val="225A46"/>
          </w:rPr>
          <w:t> [fonte]</w:t>
        </w:r>
      </w:hyperlink>
    </w:p>
    <w:p>
      <w:r>
        <w:t>Aplicações: Comprou títulos negociáveis por US$40.616 milhões e participações não negociáveis por US$17.502 milhões; vendas/vencimentos dos negociáveis somaram US$26.383 milhões. Essas compras brutas não identificam qual parcela veio do lucro corrente.</w:t>
      </w:r>
      <w:hyperlink r:id="rId13">
        <w:r>
          <w:rPr>
            <w:color w:val="225A46"/>
          </w:rPr>
          <w:t> [fonte]</w:t>
        </w:r>
      </w:hyperlink>
    </w:p>
    <w:p>
      <w:pPr>
        <w:pStyle w:val="Heading2"/>
      </w:pPr>
      <w:r>
        <w:t>Prioridades de melhoria</w:t>
      </w:r>
    </w:p>
    <w:p>
      <w:pPr>
        <w:pStyle w:val="ListBullet"/>
      </w:pPr>
      <w:r>
        <w:t>Publicar conciliação anual entre lucro, caixa, reinvestimento, remuneração e contribuição comunitária, distinguindo caixa próprio e doações de empregados.</w:t>
      </w:r>
    </w:p>
    <w:p>
      <w:pPr>
        <w:pStyle w:val="ListBullet"/>
      </w:pPr>
      <w:r>
        <w:t>Estabelecer indicadores auditáveis de capacitação, progressão e benefícios distribuídos por faixa salarial, incluindo fornecedores.</w:t>
      </w:r>
    </w:p>
    <w:p>
      <w:pPr>
        <w:pStyle w:val="ListBullet"/>
      </w:pPr>
      <w:r>
        <w:t>Divulgar emissões absolutas e consumo de energia na utilização dos produtos com fronteiras claras, junto de resultados sociais de projetos de IA que ampliem a capacidade humana.</w:t>
      </w:r>
    </w:p>
    <w:p>
      <w:r>
        <w:br w:type="page"/>
      </w:r>
    </w:p>
    <w:p>
      <w:pPr>
        <w:pStyle w:val="Heading1"/>
      </w:pPr>
      <w:r>
        <w:t>NVIDIA evidências e limites</w:t>
      </w:r>
    </w:p>
    <w:p>
      <w:pPr>
        <w:pStyle w:val="Heading2"/>
      </w:pPr>
      <w:r>
        <w:t>Casos selecionados e situação conhecida</w:t>
      </w:r>
    </w:p>
    <w:p>
      <w:r>
        <w:t>Divulgação do efeito da mineração de criptoativos nas receitas | SEC — Estados Unidos | 2022-05-06</w:t>
      </w:r>
    </w:p>
    <w:p>
      <w:r>
        <w:t>Acordo administrativo com ordem de cessação e multa civil de US$5,5 milhões; sem admitir ou negar os achados.</w:t>
      </w:r>
    </w:p>
    <w:p>
      <w:r>
        <w:t>Caso histórico concluído por acordo; não é condenação criminal por corrupção.</w:t>
      </w:r>
    </w:p>
    <w:p>
      <w:hyperlink r:id="rId14">
        <w:r>
          <w:rPr>
            <w:color w:val="225A46"/>
          </w:rPr>
          <w:t>Documento primário</w:t>
        </w:r>
      </w:hyperlink>
    </w:p>
    <w:p>
      <w:pPr>
        <w:pStyle w:val="Heading2"/>
      </w:pPr>
      <w:r>
        <w:t>Lacunas que impedem a nota geral</w:t>
      </w:r>
    </w:p>
    <w:p>
      <w:pPr>
        <w:pStyle w:val="ListBullet"/>
      </w:pPr>
      <w:r>
        <w:t>Despesa anual consolidada incremental com capacitação, bem-estar e progressão não isolada.</w:t>
      </w:r>
    </w:p>
    <w:p>
      <w:pPr>
        <w:pStyle w:val="ListBullet"/>
      </w:pPr>
      <w:r>
        <w:t>Índice global de satisfação com amostragem e verificação independente não confirmado.</w:t>
      </w:r>
    </w:p>
    <w:p>
      <w:pPr>
        <w:pStyle w:val="ListBullet"/>
      </w:pPr>
      <w:r>
        <w:t>Não há reconciliação pública encontrada entre lucro líquido e os quatro destinos 30/30/30/10.</w:t>
      </w:r>
    </w:p>
    <w:p>
      <w:pPr>
        <w:pStyle w:val="ListBullet"/>
      </w:pPr>
      <w:r>
        <w:t>Casos jurídicos selecionados; pesquisa não equivale a certidão de ausência de outros processos.</w:t>
      </w:r>
    </w:p>
    <w:p>
      <w:pPr>
        <w:pStyle w:val="ListBullet"/>
      </w:pPr>
      <w:r>
        <w:t>Série financeira de cinco a dez anos e avaliações histórica e atual completas.</w:t>
      </w:r>
    </w:p>
    <w:p>
      <w:pPr>
        <w:pStyle w:val="Heading2"/>
      </w:pPr>
      <w:r>
        <w:t>Fontes e documentação</w:t>
      </w:r>
    </w:p>
    <w:p>
      <w:r>
        <w:rPr>
          <w:sz w:val="16"/>
        </w:rPr>
        <w:t xml:space="preserve">Fontes consultadas em 18/09/2026: </w:t>
      </w:r>
      <w:hyperlink r:id="rId13">
        <w:r>
          <w:rPr>
            <w:color w:val="225A46"/>
          </w:rPr>
          <w:t>[1] Relatório anual — NVIDIA</w:t>
        </w:r>
      </w:hyperlink>
      <w:r>
        <w:rPr>
          <w:sz w:val="16"/>
        </w:rPr>
        <w:t xml:space="preserve">  </w:t>
      </w:r>
      <w:hyperlink r:id="rId12">
        <w:r>
          <w:rPr>
            <w:color w:val="225A46"/>
          </w:rPr>
          <w:t>[2] Relatório socioambiental — NVIDIA</w:t>
        </w:r>
      </w:hyperlink>
      <w:r>
        <w:rPr>
          <w:sz w:val="16"/>
        </w:rPr>
        <w:t xml:space="preserve">  </w:t>
      </w:r>
      <w:hyperlink r:id="rId15">
        <w:r>
          <w:rPr>
            <w:color w:val="225A46"/>
          </w:rPr>
          <w:t>[3] Relatório de doações e fundação — NVIDIA</w:t>
        </w:r>
      </w:hyperlink>
      <w:r>
        <w:rPr>
          <w:sz w:val="16"/>
        </w:rPr>
        <w:t xml:space="preserve">  </w:t>
      </w:r>
      <w:hyperlink r:id="rId14">
        <w:r>
          <w:rPr>
            <w:color w:val="225A46"/>
          </w:rPr>
          <w:t>[4] Documento da autoridade competente — NVIDIA</w:t>
        </w:r>
      </w:hyperlink>
      <w:r>
        <w:rPr>
          <w:sz w:val="16"/>
        </w:rPr>
        <w:t xml:space="preserve">  </w:t>
      </w:r>
      <w:hyperlink r:id="rId16">
        <w:r>
          <w:rPr>
            <w:color w:val="225A46"/>
          </w:rPr>
          <w:t>[5] Liderança executiva — NVIDIA</w:t>
        </w:r>
      </w:hyperlink>
      <w:r>
        <w:rPr>
          <w:sz w:val="16"/>
        </w:rPr>
        <w:t xml:space="preserve">  </w:t>
      </w:r>
    </w:p>
    <w:p>
      <w:r>
        <w:t>Os dados financeiros, as práticas anunciadas e os impactos não possuem necessariamente o mesmo nível de verificação. Consulta documental não equivale a auditoria independente da empresa. A íntegra por campo e as ressalvas adicionais estão no catálogo digital.</w:t>
      </w:r>
    </w:p>
    <w:p>
      <w:hyperlink r:id="rId17">
        <w:r>
          <w:rPr>
            <w:color w:val="225A46"/>
          </w:rPr>
          <w:t>Abrir ficha completa</w:t>
        </w:r>
      </w:hyperlink>
    </w:p>
    <w:p>
      <w:r>
        <w:br w:type="page"/>
      </w:r>
    </w:p>
    <w:p>
      <w:pPr>
        <w:pStyle w:val="Heading1"/>
      </w:pPr>
      <w:r>
        <w:t>Apple</w:t>
      </w:r>
    </w:p>
    <w:p>
      <w:r>
        <w:t>Dispositivos e serviços | Estados Unidos | AAPL</w:t>
      </w:r>
    </w:p>
    <w:p>
      <w:r>
        <w:t>Recebe por dispositivos, serviços digitais, assinaturas, distribuição de aplicativos, publicidade e pagamentos.</w:t>
      </w:r>
    </w:p>
    <w:p>
      <w:r>
        <w:t>A documentação permite examinar inovação e distribuição expressiva aos acionistas. A avaliação de conduta depende também de reparabilidade, acesso, cadeia de fornecedores e evolução dos casos regulatórios; o volume distribuído isolado não decide o julgamento.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416.161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112.010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P&amp;D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34.550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CAPEX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12.715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Dividendos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15.421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Recompras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90.711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Empregados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 xml:space="preserve"> 166.000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2025-09-27</w:t>
            </w:r>
          </w:p>
        </w:tc>
      </w:tr>
    </w:tbl>
    <w:p>
      <w:pPr>
        <w:spacing w:after="40"/>
      </w:pPr>
    </w:p>
    <w:p>
      <w:r>
        <w:t xml:space="preserve">Rubricas não somáveis.  </w:t>
      </w:r>
    </w:p>
    <w:p>
      <w:pPr>
        <w:pStyle w:val="Heading2"/>
      </w:pPr>
      <w:r>
        <w:t>Impacto trabalho e aplicações</w:t>
      </w:r>
    </w:p>
    <w:p>
      <w:r>
        <w:t>Social e ambiente: Relatório 2026 informa redução superior a 60% das emissões brutas ante 2015 e meta de redução de 75% até 2030; declara eletricidade renovável nas instalações próprias. Meta futura não é resultado atingido; a extensão da asseguração 2026 não foi integralmente revisada nesta etapa.</w:t>
      </w:r>
      <w:hyperlink r:id="rId18">
        <w:r>
          <w:rPr>
            <w:color w:val="225A46"/>
          </w:rPr>
          <w:t> [fonte]</w:t>
        </w:r>
      </w:hyperlink>
    </w:p>
    <w:p>
      <w:r>
        <w:t>Trabalho: Apple declara um fundo de US$50 milhões para desenvolvimento de trabalhadores de fornecedores, lançado em 2022; anunciou novo polo educacional na Índia em fevereiro de 2026. Não tratar compromisso de US$50 milhões como gasto anual realizado nem como folha dos empregados diretos.</w:t>
      </w:r>
      <w:hyperlink r:id="rId19">
        <w:r>
          <w:rPr>
            <w:color w:val="225A46"/>
          </w:rPr>
          <w:t> [fonte]</w:t>
        </w:r>
      </w:hyperlink>
    </w:p>
    <w:p>
      <w:r>
        <w:t>Aplicações: Compras de títulos negociáveis: US$24.407 milhões; vencimentos: US$40.907 milhões; vendas: US$12.890 milhões. O fluxo mostra resgate líquido de títulos, não apenas acumulação financeira. Carteira de títulos correntes e não correntes: US$96.486 milhões.</w:t>
      </w:r>
      <w:hyperlink r:id="rId20">
        <w:r>
          <w:rPr>
            <w:color w:val="225A46"/>
          </w:rPr>
          <w:t> [fonte]</w:t>
        </w:r>
      </w:hyperlink>
    </w:p>
    <w:p>
      <w:pPr>
        <w:pStyle w:val="Heading2"/>
      </w:pPr>
      <w:r>
        <w:t>Prioridades de melhoria</w:t>
      </w:r>
    </w:p>
    <w:p>
      <w:pPr>
        <w:pStyle w:val="ListBullet"/>
      </w:pPr>
      <w:r>
        <w:t>Publicar despesas efetivamente executadas do fundo de trabalhadores, resultados de progressão, satisfação anônima e conclusão das correções na cadeia.</w:t>
      </w:r>
    </w:p>
    <w:p>
      <w:pPr>
        <w:pStyle w:val="ListBullet"/>
      </w:pPr>
      <w:r>
        <w:t>Ampliar reparabilidade, longevidade, acessibilidade cognitiva e opções de menor custo, com metas verificáveis por produto.</w:t>
      </w:r>
    </w:p>
    <w:p>
      <w:pPr>
        <w:pStyle w:val="ListBullet"/>
      </w:pPr>
      <w:r>
        <w:t>Tornar regras de distribuição e cobranças mais simples e previsíveis, com canal público de correção; apresentar relação entre recompra, melhoria do produto e retorno social.</w:t>
      </w:r>
    </w:p>
    <w:p>
      <w:r>
        <w:br w:type="page"/>
      </w:r>
    </w:p>
    <w:p>
      <w:pPr>
        <w:pStyle w:val="Heading1"/>
      </w:pPr>
      <w:r>
        <w:t>Apple evidências e limites</w:t>
      </w:r>
    </w:p>
    <w:p>
      <w:pPr>
        <w:pStyle w:val="Heading2"/>
      </w:pPr>
      <w:r>
        <w:t>Casos selecionados e situação conhecida</w:t>
      </w:r>
    </w:p>
    <w:p>
      <w:r>
        <w:t>Restrições a direcionamento para ofertas externas da App Store | Comissão Europeia | 2025-04-23</w:t>
      </w:r>
    </w:p>
    <w:p>
      <w:r>
        <w:t>Decisão administrativa de descumprimento do Digital Markets Act; multa de EUR500 milhões.</w:t>
      </w:r>
    </w:p>
    <w:p>
      <w:r>
        <w:t>Desfecho recursal atualizado não verificado; não afirmar trânsito em julgado nem corrupção.</w:t>
      </w:r>
    </w:p>
    <w:p>
      <w:hyperlink r:id="rId21">
        <w:r>
          <w:rPr>
            <w:color w:val="225A46"/>
          </w:rPr>
          <w:t>Documento primário</w:t>
        </w:r>
      </w:hyperlink>
    </w:p>
    <w:p>
      <w:pPr>
        <w:pStyle w:val="Heading2"/>
      </w:pPr>
      <w:r>
        <w:t>Lacunas que impedem a nota geral</w:t>
      </w:r>
    </w:p>
    <w:p>
      <w:pPr>
        <w:pStyle w:val="ListBullet"/>
      </w:pPr>
      <w:r>
        <w:t>Despesa anual consolidada incremental com capacitação, bem-estar e progressão não isolada.</w:t>
      </w:r>
    </w:p>
    <w:p>
      <w:pPr>
        <w:pStyle w:val="ListBullet"/>
      </w:pPr>
      <w:r>
        <w:t>Índice global de satisfação com amostragem e verificação independente não confirmado.</w:t>
      </w:r>
    </w:p>
    <w:p>
      <w:pPr>
        <w:pStyle w:val="ListBullet"/>
      </w:pPr>
      <w:r>
        <w:t>Não há reconciliação pública encontrada entre lucro líquido e os quatro destinos 30/30/30/10.</w:t>
      </w:r>
    </w:p>
    <w:p>
      <w:pPr>
        <w:pStyle w:val="ListBullet"/>
      </w:pPr>
      <w:r>
        <w:t>Casos jurídicos selecionados; pesquisa não equivale a certidão de ausência de outros processos.</w:t>
      </w:r>
    </w:p>
    <w:p>
      <w:pPr>
        <w:pStyle w:val="ListBullet"/>
      </w:pPr>
      <w:r>
        <w:t>E-mail institucional adequado para sugestões ao CEO não confirmado; canal postal/telefone documentado.</w:t>
      </w:r>
    </w:p>
    <w:p>
      <w:pPr>
        <w:pStyle w:val="Heading2"/>
      </w:pPr>
      <w:r>
        <w:t>Fontes e documentação</w:t>
      </w:r>
    </w:p>
    <w:p>
      <w:r>
        <w:rPr>
          <w:sz w:val="16"/>
        </w:rPr>
        <w:t xml:space="preserve">Fontes consultadas em 18/09/2026: </w:t>
      </w:r>
      <w:hyperlink r:id="rId20">
        <w:r>
          <w:rPr>
            <w:color w:val="225A46"/>
          </w:rPr>
          <w:t>[1] Relatório anual — Apple</w:t>
        </w:r>
      </w:hyperlink>
      <w:r>
        <w:rPr>
          <w:sz w:val="16"/>
        </w:rPr>
        <w:t xml:space="preserve">  </w:t>
      </w:r>
      <w:hyperlink r:id="rId18">
        <w:r>
          <w:rPr>
            <w:color w:val="225A46"/>
          </w:rPr>
          <w:t>[2] Relatório socioambiental — Apple</w:t>
        </w:r>
      </w:hyperlink>
      <w:r>
        <w:rPr>
          <w:sz w:val="16"/>
        </w:rPr>
        <w:t xml:space="preserve">  </w:t>
      </w:r>
      <w:hyperlink r:id="rId22">
        <w:r>
          <w:rPr>
            <w:color w:val="225A46"/>
          </w:rPr>
          <w:t>[3] Cadeia de fornecedores e trabalhadores — Apple</w:t>
        </w:r>
      </w:hyperlink>
      <w:r>
        <w:rPr>
          <w:sz w:val="16"/>
        </w:rPr>
        <w:t xml:space="preserve">  </w:t>
      </w:r>
      <w:hyperlink r:id="rId19">
        <w:r>
          <w:rPr>
            <w:color w:val="225A46"/>
          </w:rPr>
          <w:t>[4] Programa educacional — Apple</w:t>
        </w:r>
      </w:hyperlink>
      <w:r>
        <w:rPr>
          <w:sz w:val="16"/>
        </w:rPr>
        <w:t xml:space="preserve">  </w:t>
      </w:r>
      <w:hyperlink r:id="rId21">
        <w:r>
          <w:rPr>
            <w:color w:val="225A46"/>
          </w:rPr>
          <w:t>[5] Documento da autoridade competente — Apple</w:t>
        </w:r>
      </w:hyperlink>
      <w:r>
        <w:rPr>
          <w:sz w:val="16"/>
        </w:rPr>
        <w:t xml:space="preserve">  </w:t>
      </w:r>
      <w:hyperlink r:id="rId23">
        <w:r>
          <w:rPr>
            <w:color w:val="225A46"/>
          </w:rPr>
          <w:t>[6] Contato institucional — Apple</w:t>
        </w:r>
      </w:hyperlink>
      <w:r>
        <w:rPr>
          <w:sz w:val="16"/>
        </w:rPr>
        <w:t xml:space="preserve">  </w:t>
      </w:r>
      <w:hyperlink r:id="rId24">
        <w:r>
          <w:rPr>
            <w:color w:val="225A46"/>
          </w:rPr>
          <w:t>[7] Liderança executiva — Apple</w:t>
        </w:r>
      </w:hyperlink>
      <w:r>
        <w:rPr>
          <w:sz w:val="16"/>
        </w:rPr>
        <w:t xml:space="preserve">  </w:t>
      </w:r>
      <w:hyperlink r:id="rId25">
        <w:r>
          <w:rPr>
            <w:color w:val="225A46"/>
          </w:rPr>
          <w:t>[8] Transição da liderança — Apple</w:t>
        </w:r>
      </w:hyperlink>
      <w:r>
        <w:rPr>
          <w:sz w:val="16"/>
        </w:rPr>
        <w:t xml:space="preserve">  </w:t>
      </w:r>
    </w:p>
    <w:p>
      <w:r>
        <w:t>Os dados financeiros, as práticas anunciadas e os impactos não possuem necessariamente o mesmo nível de verificação. Consulta documental não equivale a auditoria independente da empresa. A íntegra por campo e as ressalvas adicionais estão no catálogo digital.</w:t>
      </w:r>
    </w:p>
    <w:p>
      <w:hyperlink r:id="rId26">
        <w:r>
          <w:rPr>
            <w:color w:val="225A46"/>
          </w:rPr>
          <w:t>Abrir ficha completa</w:t>
        </w:r>
      </w:hyperlink>
    </w:p>
    <w:p>
      <w:r>
        <w:br w:type="page"/>
      </w:r>
    </w:p>
    <w:p>
      <w:pPr>
        <w:pStyle w:val="Heading1"/>
      </w:pPr>
      <w:r>
        <w:t>Alphabet</w:t>
      </w:r>
    </w:p>
    <w:p>
      <w:r>
        <w:t>Plataformas e publicidade | Estados Unidos | GOOGL · GOOG</w:t>
      </w:r>
    </w:p>
    <w:p>
      <w:r>
        <w:t>Publicidade em busca, YouTube e rede de parceiros; nuvem, assinaturas, plataformas, dispositivos e outros negócios.</w:t>
      </w:r>
    </w:p>
    <w:p>
      <w:r>
        <w:t>Pesquisa e infraestrutura coexistem com aplicações financeiras e questões concorrenciais documentadas. Acesso, efeitos da publicidade, trabalho e resultados sociais precisam de análise conjunta antes de uma nota.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402.836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132.170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P&amp;D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61.087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CAPEX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91.447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Dividendos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10.049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Recompras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45.709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Empregados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 xml:space="preserve"> 190.820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</w:tr>
    </w:tbl>
    <w:p>
      <w:pPr>
        <w:spacing w:after="40"/>
      </w:pPr>
    </w:p>
    <w:p>
      <w:r>
        <w:t xml:space="preserve">Rubricas não somáveis.  </w:t>
      </w:r>
    </w:p>
    <w:p>
      <w:pPr>
        <w:pStyle w:val="Heading2"/>
      </w:pPr>
      <w:r>
        <w:t>Impacto trabalho e aplicações</w:t>
      </w:r>
    </w:p>
    <w:p>
      <w:r>
        <w:t>Social e ambiente: Relatório 2026 declara contratação de mais de 12 GW de energia limpa e reposição equivalente a 78% do consumo de água doce em 2025. Contratação não equivale a energia já gerada; reposição global não elimina impacto local.</w:t>
      </w:r>
      <w:hyperlink r:id="rId27">
        <w:r>
          <w:rPr>
            <w:color w:val="225A46"/>
          </w:rPr>
          <w:t> [fonte]</w:t>
        </w:r>
      </w:hyperlink>
    </w:p>
    <w:p>
      <w:r>
        <w:t>Trabalho: Declara representação de empregados/conselhos laborais em certos países e compromisso com direitos laborais protegidos. Política declarada não comprova execução; gastos incrementais e satisfação comparável não encontrados.</w:t>
      </w:r>
      <w:hyperlink r:id="rId28">
        <w:r>
          <w:rPr>
            <w:color w:val="225A46"/>
          </w:rPr>
          <w:t> [fonte]</w:t>
        </w:r>
      </w:hyperlink>
    </w:p>
    <w:p>
      <w:r>
        <w:t>Aplicações: Compras de títulos negociáveis: US$103.773 milhões; vendas/vencimentos: US$83.240 milhões. Compras de títulos não negociáveis: US$5.716 milhões; resgates/vendas: US$1.367 milhões. Compras brutas não são alocação rastreada do lucro corrente.</w:t>
      </w:r>
      <w:hyperlink r:id="rId28">
        <w:r>
          <w:rPr>
            <w:color w:val="225A46"/>
          </w:rPr>
          <w:t> [fonte]</w:t>
        </w:r>
      </w:hyperlink>
    </w:p>
    <w:p>
      <w:pPr>
        <w:pStyle w:val="Heading2"/>
      </w:pPr>
      <w:r>
        <w:t>Prioridades de melhoria</w:t>
      </w:r>
    </w:p>
    <w:p>
      <w:pPr>
        <w:pStyle w:val="ListBullet"/>
      </w:pPr>
      <w:r>
        <w:t>Divulgar verificações independentes de interoperabilidade, concorrência e execução dos remédios, com consulta a anunciantes e editores.</w:t>
      </w:r>
    </w:p>
    <w:p>
      <w:pPr>
        <w:pStyle w:val="ListBullet"/>
      </w:pPr>
      <w:r>
        <w:t>Publicar indicadores de redistribuição aos trabalhadores, requalificação diante da IA e evolução do emprego, incluindo prestadores terceirizados.</w:t>
      </w:r>
    </w:p>
    <w:p>
      <w:pPr>
        <w:pStyle w:val="ListBullet"/>
      </w:pPr>
      <w:r>
        <w:t>Vincular infraestrutura de IA a orçamento local de água/energia e programas de educação e acessibilidade, separando impacto observado de cobertura potencial ou simulações.</w:t>
      </w:r>
    </w:p>
    <w:p>
      <w:r>
        <w:br w:type="page"/>
      </w:r>
    </w:p>
    <w:p>
      <w:pPr>
        <w:pStyle w:val="Heading1"/>
      </w:pPr>
      <w:r>
        <w:t>Alphabet evidências e limites</w:t>
      </w:r>
    </w:p>
    <w:p>
      <w:pPr>
        <w:pStyle w:val="Heading2"/>
      </w:pPr>
      <w:r>
        <w:t>Casos selecionados e situação conhecida</w:t>
      </w:r>
    </w:p>
    <w:p>
      <w:r>
        <w:t>Google Search — monopolização | Tribunal Distrital de Columbia / DOJ | 2025-09-02</w:t>
      </w:r>
    </w:p>
    <w:p>
      <w:r>
        <w:t>Remédios judiciais anunciados em setembro de 2025; 10-K registra julgamento final em dezembro de 2025 e recursos de Google em janeiro e DOJ/estados em fevereiro de 2026.</w:t>
      </w:r>
    </w:p>
    <w:p>
      <w:r>
        <w:t>Não tratado como trânsito em julgado; andamento posterior dos recursos não conferido integralmente.</w:t>
      </w:r>
    </w:p>
    <w:p>
      <w:hyperlink r:id="rId29">
        <w:r>
          <w:rPr>
            <w:color w:val="225A46"/>
          </w:rPr>
          <w:t>Documento primário</w:t>
        </w:r>
      </w:hyperlink>
    </w:p>
    <w:p>
      <w:r>
        <w:t>Google adtech — monopolização | Tribunal Distrital do Leste da Virgínia / DOJ | 2026-09-16</w:t>
      </w:r>
    </w:p>
    <w:p>
      <w:r>
        <w:t>DOJ anunciou decisão de remédios comportamentais em 16/09/2026, com interoperabilidade, não discriminação, exportação de dados e monitoramento por seis anos.</w:t>
      </w:r>
    </w:p>
    <w:p>
      <w:r>
        <w:t>Fonte é a comunicação oficial da parte governamental; não afirmar trânsito em julgado, execução integral ou ausência de recursos.</w:t>
      </w:r>
    </w:p>
    <w:p>
      <w:hyperlink r:id="rId30">
        <w:r>
          <w:rPr>
            <w:color w:val="225A46"/>
          </w:rPr>
          <w:t>Documento primário</w:t>
        </w:r>
      </w:hyperlink>
    </w:p>
    <w:p>
      <w:pPr>
        <w:pStyle w:val="Heading2"/>
      </w:pPr>
      <w:r>
        <w:t>Lacunas que impedem a nota geral</w:t>
      </w:r>
    </w:p>
    <w:p>
      <w:pPr>
        <w:pStyle w:val="ListBullet"/>
      </w:pPr>
      <w:r>
        <w:t>Despesa anual consolidada incremental com capacitação, bem-estar e progressão não isolada.</w:t>
      </w:r>
    </w:p>
    <w:p>
      <w:pPr>
        <w:pStyle w:val="ListBullet"/>
      </w:pPr>
      <w:r>
        <w:t>Índice global de satisfação com amostragem e verificação independente não confirmado.</w:t>
      </w:r>
    </w:p>
    <w:p>
      <w:pPr>
        <w:pStyle w:val="ListBullet"/>
      </w:pPr>
      <w:r>
        <w:t>Não há reconciliação pública encontrada entre lucro líquido e os quatro destinos 30/30/30/10.</w:t>
      </w:r>
    </w:p>
    <w:p>
      <w:pPr>
        <w:pStyle w:val="ListBullet"/>
      </w:pPr>
      <w:r>
        <w:t>Casos jurídicos selecionados; pesquisa não equivale a certidão de ausência de outros processos.</w:t>
      </w:r>
    </w:p>
    <w:p>
      <w:pPr>
        <w:pStyle w:val="ListBullet"/>
      </w:pPr>
      <w:r>
        <w:t>Série financeira de cinco a dez anos e avaliações histórica e atual completas.</w:t>
      </w:r>
    </w:p>
    <w:p>
      <w:pPr>
        <w:pStyle w:val="Heading2"/>
      </w:pPr>
      <w:r>
        <w:t>Fontes e documentação</w:t>
      </w:r>
    </w:p>
    <w:p>
      <w:r>
        <w:rPr>
          <w:sz w:val="16"/>
        </w:rPr>
        <w:t xml:space="preserve">Fontes consultadas em 18/09/2026: </w:t>
      </w:r>
      <w:hyperlink r:id="rId28">
        <w:r>
          <w:rPr>
            <w:color w:val="225A46"/>
          </w:rPr>
          <w:t>[1] Relatório anual — Alphabet</w:t>
        </w:r>
      </w:hyperlink>
      <w:r>
        <w:rPr>
          <w:sz w:val="16"/>
        </w:rPr>
        <w:t xml:space="preserve">  </w:t>
      </w:r>
      <w:hyperlink r:id="rId27">
        <w:r>
          <w:rPr>
            <w:color w:val="225A46"/>
          </w:rPr>
          <w:t>[2] Relatório socioambiental — Alphabet</w:t>
        </w:r>
      </w:hyperlink>
      <w:r>
        <w:rPr>
          <w:sz w:val="16"/>
        </w:rPr>
        <w:t xml:space="preserve">  </w:t>
      </w:r>
      <w:hyperlink r:id="rId31">
        <w:r>
          <w:rPr>
            <w:color w:val="225A46"/>
          </w:rPr>
          <w:t>[3] Apresentação do relatório ambiental — Alphabet</w:t>
        </w:r>
      </w:hyperlink>
      <w:r>
        <w:rPr>
          <w:sz w:val="16"/>
        </w:rPr>
        <w:t xml:space="preserve">  </w:t>
      </w:r>
      <w:hyperlink r:id="rId29">
        <w:r>
          <w:rPr>
            <w:color w:val="225A46"/>
          </w:rPr>
          <w:t>[4] Documento da autoridade competente — Alphabet</w:t>
        </w:r>
      </w:hyperlink>
      <w:r>
        <w:rPr>
          <w:sz w:val="16"/>
        </w:rPr>
        <w:t xml:space="preserve">  </w:t>
      </w:r>
      <w:hyperlink r:id="rId30">
        <w:r>
          <w:rPr>
            <w:color w:val="225A46"/>
          </w:rPr>
          <w:t>[5] Nova decisão da autoridade competente — Alphabet</w:t>
        </w:r>
      </w:hyperlink>
      <w:r>
        <w:rPr>
          <w:sz w:val="16"/>
        </w:rPr>
        <w:t xml:space="preserve">  </w:t>
      </w:r>
      <w:hyperlink r:id="rId32">
        <w:r>
          <w:rPr>
            <w:color w:val="225A46"/>
          </w:rPr>
          <w:t>[6] Resultados recentes — Alphabet</w:t>
        </w:r>
      </w:hyperlink>
      <w:r>
        <w:rPr>
          <w:sz w:val="16"/>
        </w:rPr>
        <w:t xml:space="preserve">  </w:t>
      </w:r>
    </w:p>
    <w:p>
      <w:r>
        <w:t>Os dados financeiros, as práticas anunciadas e os impactos não possuem necessariamente o mesmo nível de verificação. Consulta documental não equivale a auditoria independente da empresa. A íntegra por campo e as ressalvas adicionais estão no catálogo digital.</w:t>
      </w:r>
    </w:p>
    <w:p>
      <w:hyperlink r:id="rId33">
        <w:r>
          <w:rPr>
            <w:color w:val="225A46"/>
          </w:rPr>
          <w:t>Abrir ficha completa</w:t>
        </w:r>
      </w:hyperlink>
    </w:p>
    <w:p>
      <w:r>
        <w:br w:type="page"/>
      </w:r>
    </w:p>
    <w:p>
      <w:pPr>
        <w:pStyle w:val="Heading1"/>
      </w:pPr>
      <w:r>
        <w:t>Microsoft</w:t>
      </w:r>
    </w:p>
    <w:p>
      <w:r>
        <w:t>Software e nuvem | Estados Unidos | MSFT</w:t>
      </w:r>
    </w:p>
    <w:p>
      <w:r>
        <w:t>Assinaturas e licenças de software, serviços de nuvem, publicidade, jogos, dispositivos e serviços empresariais.</w:t>
      </w:r>
    </w:p>
    <w:p>
      <w:r>
        <w:t>Pesquisa e infraestrutura têm escala relevante; há iniciativas declaradas de qualificação e ambiente. Períodos ambientais e financeiros diferem, e os efeitos da expansão de IA sobre emprego e recursos naturais precisam de métricas comparáveis.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331.839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133.749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P&amp;D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35.562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CAPEX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115.948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Dividendos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26.445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Recompras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16.719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Empregados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 xml:space="preserve"> 223.000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2026-06-30</w:t>
            </w:r>
          </w:p>
        </w:tc>
      </w:tr>
    </w:tbl>
    <w:p>
      <w:pPr>
        <w:spacing w:after="40"/>
      </w:pPr>
    </w:p>
    <w:p>
      <w:r>
        <w:t xml:space="preserve">Rubricas não somáveis. Inclui efeitos de investimentos; não confundir com lucro operacional ou caixa. </w:t>
      </w:r>
    </w:p>
    <w:p>
      <w:pPr>
        <w:pStyle w:val="Heading2"/>
      </w:pPr>
      <w:r>
        <w:t>Impacto trabalho e aplicações</w:t>
      </w:r>
    </w:p>
    <w:p>
      <w:r>
        <w:t>Social e ambiente: Relatório ambiental 2026 cobre FY2025 e reconhece aumento de 25% nas emissões totais de escopos 1, 2 e 3; atribui-o à expansão de datacenters e mudança no uso de certificados de energia. Indicador ambiental refere-se a FY2025, não FY2026 financeiro. Não comparar sem identificar essa defasagem.</w:t>
      </w:r>
      <w:hyperlink r:id="rId34">
        <w:r>
          <w:rPr>
            <w:color w:val="225A46"/>
          </w:rPr>
          <w:t> [fonte]</w:t>
        </w:r>
      </w:hyperlink>
    </w:p>
    <w:p>
      <w:r>
        <w:t>Trabalho: O 10-K informa 223 mil empregados em tempo integral, incluindo 77 mil em pesquisa e desenvolvimento. Quantidade e atividade não demonstram satisfação, estabilidade ou distribuição equitativa dos benefícios.</w:t>
      </w:r>
      <w:hyperlink r:id="rId35">
        <w:r>
          <w:rPr>
            <w:color w:val="225A46"/>
          </w:rPr>
          <w:t> [fonte]</w:t>
        </w:r>
      </w:hyperlink>
    </w:p>
    <w:p>
      <w:r>
        <w:t>Aplicações: Compras de investimentos de US$58.351 milhões; vencimentos US$34.605 milhões e vendas US$21.798 milhões. Aplicações de curto prazo totalizavam US$55.908 milhões no encerramento. Ganhos de investimento podem alterar o lucro sem equivaler a caixa livre.</w:t>
      </w:r>
      <w:hyperlink r:id="rId36">
        <w:r>
          <w:rPr>
            <w:color w:val="225A46"/>
          </w:rPr>
          <w:t> [fonte]</w:t>
        </w:r>
      </w:hyperlink>
    </w:p>
    <w:p>
      <w:pPr>
        <w:pStyle w:val="Heading2"/>
      </w:pPr>
      <w:r>
        <w:t>Prioridades de melhoria</w:t>
      </w:r>
    </w:p>
    <w:p>
      <w:pPr>
        <w:pStyle w:val="ListBullet"/>
      </w:pPr>
      <w:r>
        <w:t>Publicar orçamento e resultados da transição de trabalhadores afetados pela IA: requalificação, recolocação e mobilidade interna, com participação dos empregados.</w:t>
      </w:r>
    </w:p>
    <w:p>
      <w:pPr>
        <w:pStyle w:val="ListBullet"/>
      </w:pPr>
      <w:r>
        <w:t>Associar expansão dos datacenters a metas locais de energia limpa, água e benefícios comunitários; divulgar impacto absoluto junto da eficiência.</w:t>
      </w:r>
    </w:p>
    <w:p>
      <w:pPr>
        <w:pStyle w:val="ListBullet"/>
      </w:pPr>
      <w:r>
        <w:t>Simplificar licenciamento, interoperabilidade e acessibilidade cognitiva, com métricas de tempo para realizar tarefas e mecanismo verificável de reclamação.</w:t>
      </w:r>
    </w:p>
    <w:p>
      <w:r>
        <w:br w:type="page"/>
      </w:r>
    </w:p>
    <w:p>
      <w:pPr>
        <w:pStyle w:val="Heading1"/>
      </w:pPr>
      <w:r>
        <w:t>Microsoft evidências e limites</w:t>
      </w:r>
    </w:p>
    <w:p>
      <w:pPr>
        <w:pStyle w:val="Heading2"/>
      </w:pPr>
      <w:r>
        <w:t>Casos selecionados e situação conhecida</w:t>
      </w:r>
    </w:p>
    <w:p>
      <w:r>
        <w:t>Microsoft Teams — AT.40721 e AT.40873 | Comissão Europeia | 2025-09-12</w:t>
      </w:r>
    </w:p>
    <w:p>
      <w:r>
        <w:t>Compromissos tornados vinculantes para endereçar preocupações concorrenciais sobre venda conjunta e interoperabilidade.</w:t>
      </w:r>
    </w:p>
    <w:p>
      <w:r>
        <w:t>Decisão de compromissos sobre preocupações concorrenciais; não apresentar como condenação criminal nem como prova de corrupção.</w:t>
      </w:r>
    </w:p>
    <w:p>
      <w:hyperlink r:id="rId37">
        <w:r>
          <w:rPr>
            <w:color w:val="225A46"/>
          </w:rPr>
          <w:t>Documento primário</w:t>
        </w:r>
      </w:hyperlink>
    </w:p>
    <w:p>
      <w:pPr>
        <w:pStyle w:val="Heading2"/>
      </w:pPr>
      <w:r>
        <w:t>Lacunas que impedem a nota geral</w:t>
      </w:r>
    </w:p>
    <w:p>
      <w:pPr>
        <w:pStyle w:val="ListBullet"/>
      </w:pPr>
      <w:r>
        <w:t>Despesa anual consolidada incremental com capacitação, bem-estar e progressão não isolada.</w:t>
      </w:r>
    </w:p>
    <w:p>
      <w:pPr>
        <w:pStyle w:val="ListBullet"/>
      </w:pPr>
      <w:r>
        <w:t>Índice global de satisfação com amostragem e verificação independente não confirmado.</w:t>
      </w:r>
    </w:p>
    <w:p>
      <w:pPr>
        <w:pStyle w:val="ListBullet"/>
      </w:pPr>
      <w:r>
        <w:t>Não há reconciliação pública encontrada entre lucro líquido e os quatro destinos 30/30/30/10.</w:t>
      </w:r>
    </w:p>
    <w:p>
      <w:pPr>
        <w:pStyle w:val="ListBullet"/>
      </w:pPr>
      <w:r>
        <w:t>Casos jurídicos selecionados; pesquisa não equivale a certidão de ausência de outros processos.</w:t>
      </w:r>
    </w:p>
    <w:p>
      <w:pPr>
        <w:pStyle w:val="ListBullet"/>
      </w:pPr>
      <w:r>
        <w:t>Relatório ambiental disponível cobre FY2025, enquanto os números financeiros são FY2026.</w:t>
      </w:r>
    </w:p>
    <w:p>
      <w:pPr>
        <w:pStyle w:val="Heading2"/>
      </w:pPr>
      <w:r>
        <w:t>Fontes e documentação</w:t>
      </w:r>
    </w:p>
    <w:p>
      <w:r>
        <w:rPr>
          <w:sz w:val="16"/>
        </w:rPr>
        <w:t xml:space="preserve">Fontes consultadas em 18/09/2026: </w:t>
      </w:r>
      <w:hyperlink r:id="rId35">
        <w:r>
          <w:rPr>
            <w:color w:val="225A46"/>
          </w:rPr>
          <w:t>[1] Relatório anual — Microsoft</w:t>
        </w:r>
      </w:hyperlink>
      <w:r>
        <w:rPr>
          <w:sz w:val="16"/>
        </w:rPr>
        <w:t xml:space="preserve">  </w:t>
      </w:r>
      <w:hyperlink r:id="rId36">
        <w:r>
          <w:rPr>
            <w:color w:val="225A46"/>
          </w:rPr>
          <w:t>[2] Comunicado de resultados — Microsoft</w:t>
        </w:r>
      </w:hyperlink>
      <w:r>
        <w:rPr>
          <w:sz w:val="16"/>
        </w:rPr>
        <w:t xml:space="preserve">  </w:t>
      </w:r>
      <w:hyperlink r:id="rId34">
        <w:r>
          <w:rPr>
            <w:color w:val="225A46"/>
          </w:rPr>
          <w:t>[3] Relatório socioambiental — Microsoft</w:t>
        </w:r>
      </w:hyperlink>
      <w:r>
        <w:rPr>
          <w:sz w:val="16"/>
        </w:rPr>
        <w:t xml:space="preserve">  </w:t>
      </w:r>
      <w:hyperlink r:id="rId38">
        <w:r>
          <w:rPr>
            <w:color w:val="225A46"/>
          </w:rPr>
          <w:t>[4] Relatórios de sustentabilidade — Microsoft</w:t>
        </w:r>
      </w:hyperlink>
      <w:r>
        <w:rPr>
          <w:sz w:val="16"/>
        </w:rPr>
        <w:t xml:space="preserve">  </w:t>
      </w:r>
      <w:hyperlink r:id="rId37">
        <w:r>
          <w:rPr>
            <w:color w:val="225A46"/>
          </w:rPr>
          <w:t>[5] Documento da autoridade competente — Microsoft</w:t>
        </w:r>
      </w:hyperlink>
      <w:r>
        <w:rPr>
          <w:sz w:val="16"/>
        </w:rPr>
        <w:t xml:space="preserve">  </w:t>
      </w:r>
      <w:hyperlink r:id="rId39">
        <w:r>
          <w:rPr>
            <w:color w:val="225A46"/>
          </w:rPr>
          <w:t>[6] Contato institucional — Microsoft</w:t>
        </w:r>
      </w:hyperlink>
      <w:r>
        <w:rPr>
          <w:sz w:val="16"/>
        </w:rPr>
        <w:t xml:space="preserve">  </w:t>
      </w:r>
      <w:hyperlink r:id="rId40">
        <w:r>
          <w:rPr>
            <w:color w:val="225A46"/>
          </w:rPr>
          <w:t>[7] Liderança executiva — Microsoft</w:t>
        </w:r>
      </w:hyperlink>
      <w:r>
        <w:rPr>
          <w:sz w:val="16"/>
        </w:rPr>
        <w:t xml:space="preserve">  </w:t>
      </w:r>
    </w:p>
    <w:p>
      <w:r>
        <w:t>Os dados financeiros, as práticas anunciadas e os impactos não possuem necessariamente o mesmo nível de verificação. Consulta documental não equivale a auditoria independente da empresa. A íntegra por campo e as ressalvas adicionais estão no catálogo digital.</w:t>
      </w:r>
    </w:p>
    <w:p>
      <w:hyperlink r:id="rId41">
        <w:r>
          <w:rPr>
            <w:color w:val="225A46"/>
          </w:rPr>
          <w:t>Abrir ficha completa</w:t>
        </w:r>
      </w:hyperlink>
    </w:p>
    <w:p>
      <w:r>
        <w:br w:type="page"/>
      </w:r>
    </w:p>
    <w:p>
      <w:pPr>
        <w:pStyle w:val="Heading1"/>
      </w:pPr>
      <w:r>
        <w:t>Amazon</w:t>
      </w:r>
    </w:p>
    <w:p>
      <w:r>
        <w:t>Varejo e nuvem | Estados Unidos | AMZN</w:t>
      </w:r>
    </w:p>
    <w:p>
      <w:r>
        <w:t>Venda de produtos; comissões, logística e serviços a vendedores; assinaturas; publicidade; infraestrutura AWS. Lucro operacional segmentado difere do lucro líquido consolidado.</w:t>
      </w:r>
    </w:p>
    <w:p>
      <w:r>
        <w:t>O exercício não apresentou dividendos nem recompras, mas isso não demonstra por si boa conduta. Segurança no trabalho, consumo, emissões absolutas e cumprimento de acordos são pontos essenciais da avaliação.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716.924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77.670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P&amp;D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N/D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CAPEX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131.819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Dividendos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0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Recompras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0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Empregados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 xml:space="preserve"> 1.576.000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</w:tr>
    </w:tbl>
    <w:p>
      <w:pPr>
        <w:spacing w:after="40"/>
      </w:pPr>
    </w:p>
    <w:p>
      <w:r>
        <w:t>Rubricas não somáveis.  Empregados em tempo integral e parcial, aproximadamente; não inclui integralmente contratados independentes</w:t>
      </w:r>
    </w:p>
    <w:p>
      <w:pPr>
        <w:pStyle w:val="Heading2"/>
      </w:pPr>
      <w:r>
        <w:t>Impacto trabalho e aplicações</w:t>
      </w:r>
    </w:p>
    <w:p>
      <w:r>
        <w:t>Social e ambiente: Relata correspondência de 100% do consumo de eletricidade com fontes renováveis em 2025; emissões absolutas aumentaram 16% frente a 2024. Correspondência anual contratual não prova operação física sem carbono 24 horas/dia; asseguração de cada métrica não conferida.</w:t>
      </w:r>
      <w:hyperlink r:id="rId42">
        <w:r>
          <w:rPr>
            <w:color w:val="225A46"/>
          </w:rPr>
          <w:t> [fonte]</w:t>
        </w:r>
      </w:hyperlink>
    </w:p>
    <w:p>
      <w:r>
        <w:t>Trabalho: Relata melhora de 14% anual na taxa global de lesões registráveis e de afastamento; mais de US$2,5 bilhões em segurança desde 2019. Montante acumulado não deve ser dividido pelo lucro de apenas 2025; comparação exige denominadores e cobertura equivalentes.</w:t>
      </w:r>
      <w:hyperlink r:id="rId43">
        <w:r>
          <w:rPr>
            <w:color w:val="225A46"/>
          </w:rPr>
          <w:t> [fonte]</w:t>
        </w:r>
      </w:hyperlink>
    </w:p>
    <w:p>
      <w:r>
        <w:t>Aplicações: Compras de títulos negociáveis: US$54.770 milhões; vendas/vencimentos: US$44.386 milhões; fluxo líquido calculado: US$10.384 milhões.</w:t>
      </w:r>
      <w:hyperlink r:id="rId44">
        <w:r>
          <w:rPr>
            <w:color w:val="225A46"/>
          </w:rPr>
          <w:t> [fonte]</w:t>
        </w:r>
      </w:hyperlink>
    </w:p>
    <w:p>
      <w:pPr>
        <w:pStyle w:val="Heading2"/>
      </w:pPr>
      <w:r>
        <w:t>Prioridades de melhoria</w:t>
      </w:r>
    </w:p>
    <w:p>
      <w:pPr>
        <w:pStyle w:val="ListBullet"/>
      </w:pPr>
      <w:r>
        <w:t>Publicar painel de segurança por unidade e vínculo, com denominadores, lesões musculoesqueléticas, auditoria independente, acompanhamento do acordo OSHA e participação de trabalhadores.</w:t>
      </w:r>
    </w:p>
    <w:p>
      <w:pPr>
        <w:pStyle w:val="ListBullet"/>
      </w:pPr>
      <w:r>
        <w:t>Separar publicamente despesas recorrentes, reinvestimento adicional, reparação, doações e tesouraria; conciliar cada rubrica às demonstrações anuais.</w:t>
      </w:r>
    </w:p>
    <w:p>
      <w:pPr>
        <w:pStyle w:val="ListBullet"/>
      </w:pPr>
      <w:r>
        <w:t>Ampliar simplificação de cancelamento/assinaturas e atendimento humano; ligar expansão de IA e logística a metas de emissões absolutas, água local e requalificação com manutenção da renda.</w:t>
      </w:r>
    </w:p>
    <w:p>
      <w:r>
        <w:br w:type="page"/>
      </w:r>
    </w:p>
    <w:p>
      <w:pPr>
        <w:pStyle w:val="Heading1"/>
      </w:pPr>
      <w:r>
        <w:t>Amazon evidências e limites</w:t>
      </w:r>
    </w:p>
    <w:p>
      <w:pPr>
        <w:pStyle w:val="Heading2"/>
      </w:pPr>
      <w:r>
        <w:t>Casos selecionados e situação conhecida</w:t>
      </w:r>
    </w:p>
    <w:p>
      <w:r>
        <w:t>FTC — inscrição/cancelamento Amazon Prime | Federal Trade Commission (EUA) | 2025-09-25</w:t>
      </w:r>
    </w:p>
    <w:p>
      <w:r>
        <w:t>Acordo judicial anunciado: US$1 bilhão de penalidade civil e US$1,5 bilhão para restituição; obrigações sobre adesão/cancelamento.</w:t>
      </w:r>
    </w:p>
    <w:p>
      <w:r>
        <w:t>Não descrever como condenação criminal nem supor admissão de todas as alegações; execução de pagamentos não verificada integralmente até a data-corte.</w:t>
      </w:r>
    </w:p>
    <w:p>
      <w:hyperlink r:id="rId45">
        <w:r>
          <w:rPr>
            <w:color w:val="225A46"/>
          </w:rPr>
          <w:t>Documento primário</w:t>
        </w:r>
      </w:hyperlink>
    </w:p>
    <w:p>
      <w:r>
        <w:t>OSHA — ergonomia | Occupational Safety and Health Administration / Department of Labor (EUA) | 2024-12-19</w:t>
      </w:r>
    </w:p>
    <w:p>
      <w:r>
        <w:t>Acordo corporativo para resolver múltiplos casos de ergonomia; programa, inspeções e penalidade previstos.</w:t>
      </w:r>
    </w:p>
    <w:p>
      <w:r>
        <w:t>Não equivale a comprovação de cumprimento integral.</w:t>
      </w:r>
    </w:p>
    <w:p>
      <w:hyperlink r:id="rId46">
        <w:r>
          <w:rPr>
            <w:color w:val="225A46"/>
          </w:rPr>
          <w:t>Documento primário</w:t>
        </w:r>
      </w:hyperlink>
    </w:p>
    <w:p>
      <w:pPr>
        <w:pStyle w:val="Heading2"/>
      </w:pPr>
      <w:r>
        <w:t>Lacunas que impedem a nota geral</w:t>
      </w:r>
    </w:p>
    <w:p>
      <w:pPr>
        <w:pStyle w:val="ListBullet"/>
      </w:pPr>
      <w:r>
        <w:t>Destinação exata do lucro</w:t>
      </w:r>
    </w:p>
    <w:p>
      <w:pPr>
        <w:pStyle w:val="ListBullet"/>
      </w:pPr>
      <w:r>
        <w:t>Satisfação dos empregados</w:t>
      </w:r>
    </w:p>
    <w:p>
      <w:pPr>
        <w:pStyle w:val="ListBullet"/>
      </w:pPr>
      <w:r>
        <w:t>Promoções internas</w:t>
      </w:r>
    </w:p>
    <w:p>
      <w:pPr>
        <w:pStyle w:val="ListBullet"/>
      </w:pPr>
      <w:r>
        <w:t>Resultado independente dos projetos sociais</w:t>
      </w:r>
    </w:p>
    <w:p>
      <w:pPr>
        <w:pStyle w:val="ListBullet"/>
      </w:pPr>
      <w:r>
        <w:t>Verificação completa de cumprimento dos acordos</w:t>
      </w:r>
    </w:p>
    <w:p>
      <w:pPr>
        <w:pStyle w:val="Heading2"/>
      </w:pPr>
      <w:r>
        <w:t>Fontes e documentação</w:t>
      </w:r>
    </w:p>
    <w:p>
      <w:r>
        <w:rPr>
          <w:sz w:val="16"/>
        </w:rPr>
        <w:t xml:space="preserve">Fontes consultadas em 18/09/2026: </w:t>
      </w:r>
      <w:hyperlink r:id="rId47">
        <w:r>
          <w:rPr>
            <w:color w:val="225A46"/>
          </w:rPr>
          <w:t>[1] Relatório anual — Amazon</w:t>
        </w:r>
      </w:hyperlink>
      <w:r>
        <w:rPr>
          <w:sz w:val="16"/>
        </w:rPr>
        <w:t xml:space="preserve">  </w:t>
      </w:r>
      <w:hyperlink r:id="rId44">
        <w:r>
          <w:rPr>
            <w:color w:val="225A46"/>
          </w:rPr>
          <w:t>[2] Resultados financeiros — Amazon</w:t>
        </w:r>
      </w:hyperlink>
      <w:r>
        <w:rPr>
          <w:sz w:val="16"/>
        </w:rPr>
        <w:t xml:space="preserve">  </w:t>
      </w:r>
      <w:hyperlink r:id="rId42">
        <w:r>
          <w:rPr>
            <w:color w:val="225A46"/>
          </w:rPr>
          <w:t>[3] Sustentabilidade — Amazon</w:t>
        </w:r>
      </w:hyperlink>
      <w:r>
        <w:rPr>
          <w:sz w:val="16"/>
        </w:rPr>
        <w:t xml:space="preserve">  </w:t>
      </w:r>
      <w:hyperlink r:id="rId43">
        <w:r>
          <w:rPr>
            <w:color w:val="225A46"/>
          </w:rPr>
          <w:t>[4] Segurança no trabalho — Amazon</w:t>
        </w:r>
      </w:hyperlink>
      <w:r>
        <w:rPr>
          <w:sz w:val="16"/>
        </w:rPr>
        <w:t xml:space="preserve">  </w:t>
      </w:r>
      <w:hyperlink r:id="rId45">
        <w:r>
          <w:rPr>
            <w:color w:val="225A46"/>
          </w:rPr>
          <w:t>[5] Documento da FTC — Amazon</w:t>
        </w:r>
      </w:hyperlink>
      <w:r>
        <w:rPr>
          <w:sz w:val="16"/>
        </w:rPr>
        <w:t xml:space="preserve">  </w:t>
      </w:r>
      <w:hyperlink r:id="rId46">
        <w:r>
          <w:rPr>
            <w:color w:val="225A46"/>
          </w:rPr>
          <w:t>[6] Documento de segurança ocupacional — Amazon</w:t>
        </w:r>
      </w:hyperlink>
      <w:r>
        <w:rPr>
          <w:sz w:val="16"/>
        </w:rPr>
        <w:t xml:space="preserve">  </w:t>
      </w:r>
      <w:hyperlink r:id="rId48">
        <w:r>
          <w:rPr>
            <w:color w:val="225A46"/>
          </w:rPr>
          <w:t>[7] Contato institucional — Amazon</w:t>
        </w:r>
      </w:hyperlink>
      <w:r>
        <w:rPr>
          <w:sz w:val="16"/>
        </w:rPr>
        <w:t xml:space="preserve">  </w:t>
      </w:r>
    </w:p>
    <w:p>
      <w:r>
        <w:t>Os dados financeiros, as práticas anunciadas e os impactos não possuem necessariamente o mesmo nível de verificação. Consulta documental não equivale a auditoria independente da empresa. A íntegra por campo e as ressalvas adicionais estão no catálogo digital.</w:t>
      </w:r>
    </w:p>
    <w:p>
      <w:hyperlink r:id="rId49">
        <w:r>
          <w:rPr>
            <w:color w:val="225A46"/>
          </w:rPr>
          <w:t>Abrir ficha completa</w:t>
        </w:r>
      </w:hyperlink>
    </w:p>
    <w:p>
      <w:r>
        <w:br w:type="page"/>
      </w:r>
    </w:p>
    <w:p>
      <w:pPr>
        <w:pStyle w:val="Heading1"/>
      </w:pPr>
      <w:r>
        <w:t>TSMC</w:t>
      </w:r>
    </w:p>
    <w:p>
      <w:r>
        <w:t>Semicondutores | Taiwan | 2330 · TSM</w:t>
      </w:r>
    </w:p>
    <w:p>
      <w:r>
        <w:t>Fabricação e encapsulamento de chips concebidos por clientes; receita por serviços de foundry. A proposta comercial é a produção sob encomenda, sem marca própria de chips concorrentes dos clientes.</w:t>
      </w:r>
    </w:p>
    <w:p>
      <w:r>
        <w:t>O negócio intensivo em fabricação apresenta investimento em ativos e remuneração variável documentados. O percentual de respostas à pesquisa de pessoal não é satisfação; água, cadeia e execução dos projetos ainda precisam de verificação.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TWD 3.809.054,27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TWD 1.715.396,78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P&amp;D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TWD 246.427,26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CAPEX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TWD 1.272.410,53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Dividendos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TWD 466.779,2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Recompras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TWD 0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Empregados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 xml:space="preserve"> 90.557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</w:tr>
    </w:tbl>
    <w:p>
      <w:pPr>
        <w:spacing w:after="40"/>
      </w:pPr>
    </w:p>
    <w:p>
      <w:r>
        <w:t>Rubricas não somáveis. Lucro líquido CONSOLIDADO. Atribuível aos acionistas da controladora: TWD 1.717.882,627 milhões. Não trocar os denominadores silenciosamente. Quadro global; dado de pessoas autorrelatado, não confundir com auditoria das demonstrações financeiras.</w:t>
      </w:r>
    </w:p>
    <w:p>
      <w:pPr>
        <w:pStyle w:val="Heading2"/>
      </w:pPr>
      <w:r>
        <w:t>Impacto trabalho e aplicações</w:t>
      </w:r>
    </w:p>
    <w:p>
      <w:r>
        <w:t>Social e ambiente: Relata iniciativas de água de reúso, biodiversidade, segurança de contratados, educação científica e políticas parentais.</w:t>
      </w:r>
      <w:hyperlink r:id="rId50">
        <w:r>
          <w:rPr>
            <w:color w:val="225A46"/>
          </w:rPr>
          <w:t> [fonte]</w:t>
        </w:r>
      </w:hyperlink>
    </w:p>
    <w:p>
      <w:r>
        <w:t>Trabalho: Benefícios de empregados reconhecidos em custos/despesas; não soma adicional ao destino do lucro. Valor: TWD 396.114,889 milhões.</w:t>
      </w:r>
      <w:hyperlink r:id="rId51">
        <w:r>
          <w:rPr>
            <w:color w:val="225A46"/>
          </w:rPr>
          <w:t> [fonte]</w:t>
        </w:r>
      </w:hyperlink>
    </w:p>
    <w:p>
      <w:r>
        <w:t>Aplicações: Aquisições de instrumentos a valor justo no resultado. Valor: TWD 260,086 milhões.</w:t>
      </w:r>
      <w:hyperlink r:id="rId51">
        <w:r>
          <w:rPr>
            <w:color w:val="225A46"/>
          </w:rPr>
          <w:t> [fonte]</w:t>
        </w:r>
      </w:hyperlink>
    </w:p>
    <w:p>
      <w:pPr>
        <w:pStyle w:val="Heading2"/>
      </w:pPr>
      <w:r>
        <w:t>Prioridades de melhoria</w:t>
      </w:r>
    </w:p>
    <w:p>
      <w:pPr>
        <w:pStyle w:val="ListBullet"/>
      </w:pPr>
      <w:r>
        <w:t>Publicar orçamento adicional de qualificação e bem-estar, satisfação anonimizada, promoção interna e resultados de realocação após automação.</w:t>
      </w:r>
    </w:p>
    <w:p>
      <w:pPr>
        <w:pStyle w:val="ListBullet"/>
      </w:pPr>
      <w:r>
        <w:t>Vincular gastos ambientais a bacias hídricas e comunidades afetadas, com resultados absolutos e verificação externa.</w:t>
      </w:r>
    </w:p>
    <w:p>
      <w:pPr>
        <w:pStyle w:val="ListBullet"/>
      </w:pPr>
      <w:r>
        <w:t>Conciliar anualmente custos operacionais, investimento produtivo, dividendos, caixa e aplicações financeiras, separando sua finalidade e período.</w:t>
      </w:r>
    </w:p>
    <w:p>
      <w:r>
        <w:br w:type="page"/>
      </w:r>
    </w:p>
    <w:p>
      <w:pPr>
        <w:pStyle w:val="Heading1"/>
      </w:pPr>
      <w:r>
        <w:t>TSMC evidências e limites</w:t>
      </w:r>
    </w:p>
    <w:p>
      <w:pPr>
        <w:pStyle w:val="Heading2"/>
      </w:pPr>
      <w:r>
        <w:t>Casos selecionados e situação conhecida</w:t>
      </w:r>
    </w:p>
    <w:p>
      <w:r>
        <w:t>337-TA-1443 | USITC | 2026-09-03</w:t>
      </w:r>
    </w:p>
    <w:p>
      <w:r>
        <w:t>Encerrada integralmente por acordo; decisão da Comissão de 03/09/2026 não revisar a Order 77. Não é condenação de mérito por corrupção ou prova de culpa.</w:t>
      </w:r>
    </w:p>
    <w:p>
      <w:r>
        <w:t>Esta fonte encerra a investigação USITC. Não pressupõe o estado de todo processo judicial correlato.</w:t>
      </w:r>
    </w:p>
    <w:p>
      <w:hyperlink r:id="rId52">
        <w:r>
          <w:rPr>
            <w:color w:val="225A46"/>
          </w:rPr>
          <w:t>Documento primário</w:t>
        </w:r>
      </w:hyperlink>
    </w:p>
    <w:p>
      <w:pPr>
        <w:pStyle w:val="Heading2"/>
      </w:pPr>
      <w:r>
        <w:t>Lacunas que impedem a nota geral</w:t>
      </w:r>
    </w:p>
    <w:p>
      <w:pPr>
        <w:pStyle w:val="ListBullet"/>
      </w:pPr>
      <w:r>
        <w:t>Moeda TWD: não comparar números brutos com USD.</w:t>
      </w:r>
    </w:p>
    <w:p>
      <w:pPr>
        <w:pStyle w:val="ListBullet"/>
      </w:pPr>
      <w:r>
        <w:t>Pesquisa de experiência: 88% é participação, não satisfação.</w:t>
      </w:r>
    </w:p>
    <w:p>
      <w:pPr>
        <w:pStyle w:val="ListBullet"/>
      </w:pPr>
      <w:r>
        <w:t>Não há percentual comprovado de lucro destinado ao modelo 30/30/30/10.</w:t>
      </w:r>
    </w:p>
    <w:p>
      <w:pPr>
        <w:pStyle w:val="ListBullet"/>
      </w:pPr>
      <w:r>
        <w:t>Série financeira de cinco a dez anos e avaliações histórica e atual completas.</w:t>
      </w:r>
    </w:p>
    <w:p>
      <w:pPr>
        <w:pStyle w:val="ListBullet"/>
      </w:pPr>
      <w:r>
        <w:t>Onze dimensões e aderência 30/30/30/10 ainda sem conciliação e revisão integral.</w:t>
      </w:r>
    </w:p>
    <w:p>
      <w:pPr>
        <w:pStyle w:val="Heading2"/>
      </w:pPr>
      <w:r>
        <w:t>Fontes e documentação</w:t>
      </w:r>
    </w:p>
    <w:p>
      <w:r>
        <w:rPr>
          <w:sz w:val="16"/>
        </w:rPr>
        <w:t xml:space="preserve">Fontes consultadas em 18/09/2026: </w:t>
      </w:r>
      <w:hyperlink r:id="rId51">
        <w:r>
          <w:rPr>
            <w:color w:val="225A46"/>
          </w:rPr>
          <w:t>[1] Demonstrações financeiras consolidadas 2025</w:t>
        </w:r>
      </w:hyperlink>
      <w:r>
        <w:rPr>
          <w:sz w:val="16"/>
        </w:rPr>
        <w:t xml:space="preserve">  </w:t>
      </w:r>
      <w:hyperlink r:id="rId53">
        <w:r>
          <w:rPr>
            <w:color w:val="225A46"/>
          </w:rPr>
          <w:t>[2] Relatório anual 2025</w:t>
        </w:r>
      </w:hyperlink>
      <w:r>
        <w:rPr>
          <w:sz w:val="16"/>
        </w:rPr>
        <w:t xml:space="preserve">  </w:t>
      </w:r>
      <w:hyperlink r:id="rId50">
        <w:r>
          <w:rPr>
            <w:color w:val="225A46"/>
          </w:rPr>
          <w:t>[3] Relatório de sustentabilidade 2025 — anúncio de 20/08/2026</w:t>
        </w:r>
      </w:hyperlink>
      <w:r>
        <w:rPr>
          <w:sz w:val="16"/>
        </w:rPr>
        <w:t xml:space="preserve">  </w:t>
      </w:r>
      <w:hyperlink r:id="rId52">
        <w:r>
          <w:rPr>
            <w:color w:val="225A46"/>
          </w:rPr>
          <w:t>[4] USITC: encerramento por acordo em 03/09/2026</w:t>
        </w:r>
      </w:hyperlink>
      <w:r>
        <w:rPr>
          <w:sz w:val="16"/>
        </w:rPr>
        <w:t xml:space="preserve">  </w:t>
      </w:r>
      <w:hyperlink r:id="rId54">
        <w:r>
          <w:rPr>
            <w:color w:val="225A46"/>
          </w:rPr>
          <w:t>[5] Investor Relations TSMC</w:t>
        </w:r>
      </w:hyperlink>
      <w:r>
        <w:rPr>
          <w:sz w:val="16"/>
        </w:rPr>
        <w:t xml:space="preserve">  </w:t>
      </w:r>
    </w:p>
    <w:p>
      <w:r>
        <w:t>Os dados financeiros, as práticas anunciadas e os impactos não possuem necessariamente o mesmo nível de verificação. Consulta documental não equivale a auditoria independente da empresa. A íntegra por campo e as ressalvas adicionais estão no catálogo digital.</w:t>
      </w:r>
    </w:p>
    <w:p>
      <w:hyperlink r:id="rId55">
        <w:r>
          <w:rPr>
            <w:color w:val="225A46"/>
          </w:rPr>
          <w:t>Abrir ficha completa</w:t>
        </w:r>
      </w:hyperlink>
    </w:p>
    <w:p>
      <w:r>
        <w:br w:type="page"/>
      </w:r>
    </w:p>
    <w:p>
      <w:pPr>
        <w:pStyle w:val="Heading1"/>
      </w:pPr>
      <w:r>
        <w:t>SpaceX</w:t>
      </w:r>
    </w:p>
    <w:p>
      <w:r>
        <w:t>Espaço conectividade e IA | Estados Unidos | SPCX</w:t>
      </w:r>
    </w:p>
    <w:p>
      <w:r>
        <w:t>Lançamentos e serviços espaciais públicos/privados, assinaturas e terminais Starlink, e, após a aquisição de xAI/X, serviços de IA e publicidade/plataforma social.</w:t>
      </w:r>
    </w:p>
    <w:p>
      <w:r>
        <w:t>O perímetro financeiro ampliado teve prejuízo, tornando inaplicável a alocação sobre lucro positivo no exercício. Resultados tecnológicos não dispensam avaliação de segurança, impactos locais, condições de trabalho e reparações.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18.674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-4.937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P&amp;D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8.643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CAPEX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20.737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Dividendos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0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Recompras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1.125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Empregados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 xml:space="preserve"> 18.087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</w:tr>
    </w:tbl>
    <w:p>
      <w:pPr>
        <w:spacing w:after="40"/>
      </w:pPr>
    </w:p>
    <w:p>
      <w:r>
        <w:t>Rubricas não somáveis. PREJUÍZO líquido: percentuais sobre lucro positivo e modelo 30/30/30/10 não são aplicáveis a este exercício. SOMENTE SpaceX antes de xAI; perímetro NÃO acompanha demonstrações financeiras históricas combinadas.</w:t>
      </w:r>
    </w:p>
    <w:p>
      <w:pPr>
        <w:pStyle w:val="Heading2"/>
      </w:pPr>
      <w:r>
        <w:t>Impacto trabalho e aplicações</w:t>
      </w:r>
    </w:p>
    <w:p>
      <w:r>
        <w:t>Social e ambiente: Starlink relata doação de terminais e serviço temporário em respostas a desastres, incluindo o Caribe em 2025.</w:t>
      </w:r>
      <w:hyperlink r:id="rId56">
        <w:r>
          <w:rPr>
            <w:color w:val="225A46"/>
          </w:rPr>
          <w:t> [fonte]</w:t>
        </w:r>
      </w:hyperlink>
    </w:p>
    <w:p>
      <w:r>
        <w:t>Trabalho: Quadros de pessoal do prospecto são divulgação corporativa, não pesquisa independente. Sem índice comparável de satisfação, progressão ou orçamento social para empregados verificado.</w:t>
      </w:r>
      <w:hyperlink r:id="rId57">
        <w:r>
          <w:rPr>
            <w:color w:val="225A46"/>
          </w:rPr>
          <w:t> [fonte]</w:t>
        </w:r>
      </w:hyperlink>
    </w:p>
    <w:p>
      <w:r>
        <w:t>Aplicações: Compras brutas de títulos negociáveis. Valor: USD 611 milhões.</w:t>
      </w:r>
      <w:hyperlink r:id="rId57">
        <w:r>
          <w:rPr>
            <w:color w:val="225A46"/>
          </w:rPr>
          <w:t> [fonte]</w:t>
        </w:r>
      </w:hyperlink>
    </w:p>
    <w:p>
      <w:pPr>
        <w:pStyle w:val="Heading2"/>
      </w:pPr>
      <w:r>
        <w:t>Prioridades de melhoria</w:t>
      </w:r>
    </w:p>
    <w:p>
      <w:pPr>
        <w:pStyle w:val="ListBullet"/>
      </w:pPr>
      <w:r>
        <w:t>Publicar indicadores anuais de trabalhadores e contratados por segmento, com ponte entre o perímetro antigo e xAI/X, segurança, progressão e escuta independente.</w:t>
      </w:r>
    </w:p>
    <w:p>
      <w:pPr>
        <w:pStyle w:val="ListBullet"/>
      </w:pPr>
      <w:r>
        <w:t>Publicar plano verificável de mitigação e reparação ambiental, água, ruído, biodiversidade e detritos orbitais, além do cumprimento dos acordos regulatórios.</w:t>
      </w:r>
    </w:p>
    <w:p>
      <w:pPr>
        <w:pStyle w:val="ListBullet"/>
      </w:pPr>
      <w:r>
        <w:t>Separar capital produtivo de aplicações financeiras e divulgar custos adicionais e resultados das ações humanitárias, com métricas de preço, acessibilidade e continuidade do serviço.</w:t>
      </w:r>
    </w:p>
    <w:p>
      <w:r>
        <w:br w:type="page"/>
      </w:r>
    </w:p>
    <w:p>
      <w:pPr>
        <w:pStyle w:val="Heading1"/>
      </w:pPr>
      <w:r>
        <w:t>SpaceX evidências e limites</w:t>
      </w:r>
    </w:p>
    <w:p>
      <w:pPr>
        <w:pStyle w:val="Heading2"/>
      </w:pPr>
      <w:r>
        <w:t>Casos selecionados e situação conhecida</w:t>
      </w:r>
    </w:p>
    <w:p>
      <w:r>
        <w:t>CWA-06-2024-1768 | EPA | 2025-01-15</w:t>
      </w:r>
    </w:p>
    <w:p>
      <w:r>
        <w:t>Acordo e ordem final protocolados em 15/01/2025; penalidade administrativa de USD 148.378. A empresa não admite nem nega alegações factuais. Pagamento não confirmado.</w:t>
      </w:r>
    </w:p>
    <w:p>
      <w:hyperlink r:id="rId58">
        <w:r>
          <w:rPr>
            <w:color w:val="225A46"/>
          </w:rPr>
          <w:t>Documento primário</w:t>
        </w:r>
      </w:hyperlink>
    </w:p>
    <w:p>
      <w:r>
        <w:t>Alegadas violações de licenças em dois lançamentos de 2023. | FAA | 2024-09-17</w:t>
      </w:r>
    </w:p>
    <w:p>
      <w:r>
        <w:t>Proposta de penalidades de USD 633.009 anunciada em 17/09/2024; não foi confirmado desfecho final nesta pesquisa.</w:t>
      </w:r>
    </w:p>
    <w:p>
      <w:hyperlink r:id="rId59">
        <w:r>
          <w:rPr>
            <w:color w:val="225A46"/>
          </w:rPr>
          <w:t>Documento primário</w:t>
        </w:r>
      </w:hyperlink>
    </w:p>
    <w:p>
      <w:r>
        <w:t>19-CA-309274 | NLRB | Data não informada</w:t>
      </w:r>
    </w:p>
    <w:p>
      <w:r>
        <w:t>Cadastro oficial consultado está Closed. Não foi estabelecida nesta pesquisa decisão final sobre o mérito; encerramento não equivale a condenação ou absolvição.</w:t>
      </w:r>
    </w:p>
    <w:p>
      <w:hyperlink r:id="rId60">
        <w:r>
          <w:rPr>
            <w:color w:val="225A46"/>
          </w:rPr>
          <w:t>Documento primário</w:t>
        </w:r>
      </w:hyperlink>
    </w:p>
    <w:p>
      <w:pPr>
        <w:pStyle w:val="Heading2"/>
      </w:pPr>
      <w:r>
        <w:t>Lacunas que impedem a nota geral</w:t>
      </w:r>
    </w:p>
    <w:p>
      <w:pPr>
        <w:pStyle w:val="ListBullet"/>
      </w:pPr>
      <w:r>
        <w:t>SPCX confirmado por fonte oficial: não é empresa fechada na data de corte.</w:t>
      </w:r>
    </w:p>
    <w:p>
      <w:pPr>
        <w:pStyle w:val="ListBullet"/>
      </w:pPr>
      <w:r>
        <w:t>Aquisição de xAI em 02/02/2026 sob controle comum reexpressa demonstrações históricas; dados de 2025 incluem xAI/X.</w:t>
      </w:r>
    </w:p>
    <w:p>
      <w:pPr>
        <w:pStyle w:val="ListBullet"/>
      </w:pPr>
      <w:r>
        <w:t>Funcionários de 31/12/2025 excluem xAI; não dividir finanças consolidadas por esse quadro sem ressalva.</w:t>
      </w:r>
    </w:p>
    <w:p>
      <w:pPr>
        <w:pStyle w:val="ListBullet"/>
      </w:pPr>
      <w:r>
        <w:t>Prejuízo anual impede razão de destinação de lucro positivo.</w:t>
      </w:r>
    </w:p>
    <w:p>
      <w:pPr>
        <w:pStyle w:val="ListBullet"/>
      </w:pPr>
      <w:r>
        <w:t>Série financeira de cinco a dez anos e avaliações histórica e atual completas.</w:t>
      </w:r>
    </w:p>
    <w:p>
      <w:pPr>
        <w:pStyle w:val="Heading2"/>
      </w:pPr>
      <w:r>
        <w:t>Fontes e documentação</w:t>
      </w:r>
    </w:p>
    <w:p>
      <w:r>
        <w:rPr>
          <w:sz w:val="16"/>
        </w:rPr>
        <w:t xml:space="preserve">Fontes consultadas em 18/09/2026: </w:t>
      </w:r>
      <w:hyperlink r:id="rId57">
        <w:r>
          <w:rPr>
            <w:color w:val="225A46"/>
          </w:rPr>
          <w:t>[1] Prospecto europeu aprovado em 05/06/2026; demonstrações anuais 2025</w:t>
        </w:r>
      </w:hyperlink>
      <w:r>
        <w:rPr>
          <w:sz w:val="16"/>
        </w:rPr>
        <w:t xml:space="preserve">  </w:t>
      </w:r>
      <w:hyperlink r:id="rId61">
        <w:r>
          <w:rPr>
            <w:color w:val="225A46"/>
          </w:rPr>
          <w:t>[2] Precificação da oferta pública e ticker SPCX</w:t>
        </w:r>
      </w:hyperlink>
      <w:r>
        <w:rPr>
          <w:sz w:val="16"/>
        </w:rPr>
        <w:t xml:space="preserve">  </w:t>
      </w:r>
      <w:hyperlink r:id="rId58">
        <w:r>
          <w:rPr>
            <w:color w:val="225A46"/>
          </w:rPr>
          <w:t>[3] EPA: acordo e ordem final</w:t>
        </w:r>
      </w:hyperlink>
      <w:r>
        <w:rPr>
          <w:sz w:val="16"/>
        </w:rPr>
        <w:t xml:space="preserve">  </w:t>
      </w:r>
      <w:hyperlink r:id="rId59">
        <w:r>
          <w:rPr>
            <w:color w:val="225A46"/>
          </w:rPr>
          <w:t>[4] FAA: proposta de penalidades</w:t>
        </w:r>
      </w:hyperlink>
      <w:r>
        <w:rPr>
          <w:sz w:val="16"/>
        </w:rPr>
        <w:t xml:space="preserve">  </w:t>
      </w:r>
      <w:hyperlink r:id="rId60">
        <w:r>
          <w:rPr>
            <w:color w:val="225A46"/>
          </w:rPr>
          <w:t>[5] NLRB: registro do caso trabalhista</w:t>
        </w:r>
      </w:hyperlink>
      <w:r>
        <w:rPr>
          <w:sz w:val="16"/>
        </w:rPr>
        <w:t xml:space="preserve">  </w:t>
      </w:r>
      <w:hyperlink r:id="rId62">
        <w:r>
          <w:rPr>
            <w:color w:val="225A46"/>
          </w:rPr>
          <w:t>[6] Perguntas e contato oficial</w:t>
        </w:r>
      </w:hyperlink>
      <w:r>
        <w:rPr>
          <w:sz w:val="16"/>
        </w:rPr>
        <w:t xml:space="preserve">  </w:t>
      </w:r>
      <w:hyperlink r:id="rId56">
        <w:r>
          <w:rPr>
            <w:color w:val="225A46"/>
          </w:rPr>
          <w:t>[7] Starlink Progress Report 2025</w:t>
        </w:r>
      </w:hyperlink>
      <w:r>
        <w:rPr>
          <w:sz w:val="16"/>
        </w:rPr>
        <w:t xml:space="preserve">  </w:t>
      </w:r>
    </w:p>
    <w:p>
      <w:r>
        <w:t>Os dados financeiros, as práticas anunciadas e os impactos não possuem necessariamente o mesmo nível de verificação. Consulta documental não equivale a auditoria independente da empresa. A íntegra por campo e as ressalvas adicionais estão no catálogo digital.</w:t>
      </w:r>
    </w:p>
    <w:p>
      <w:hyperlink r:id="rId63">
        <w:r>
          <w:rPr>
            <w:color w:val="225A46"/>
          </w:rPr>
          <w:t>Abrir ficha completa</w:t>
        </w:r>
      </w:hyperlink>
    </w:p>
    <w:p>
      <w:r>
        <w:br w:type="page"/>
      </w:r>
    </w:p>
    <w:p>
      <w:pPr>
        <w:pStyle w:val="Heading1"/>
      </w:pPr>
      <w:r>
        <w:t>Meta</w:t>
      </w:r>
    </w:p>
    <w:p>
      <w:r>
        <w:t>Plataformas e publicidade | Estados Unidos | META</w:t>
      </w:r>
    </w:p>
    <w:p>
      <w:r>
        <w:t>Receita principalmente com publicidade em Facebook e Instagram; outros serviços e dispositivos/tecnologia Reality Labs. Incentivos ligados ao desempenho publicitário requerem avaliação própria de proteção de usuários.</w:t>
      </w:r>
    </w:p>
    <w:p>
      <w:r>
        <w:t>Pesquisa e infraestrutura coexistem com retorno a acionistas e investimentos em participações. Segurança de usuários, privacidade, condições de trabalho e impactos locais são indispensáveis; a asseguração ambiental localizada cobre métricas e período limitados.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200.966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60.458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P&amp;D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57.372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CAPEX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69.691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Dividendos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5.324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Recompras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26.248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Empregados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 xml:space="preserve"> 78.865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</w:tr>
    </w:tbl>
    <w:p>
      <w:pPr>
        <w:spacing w:after="40"/>
      </w:pPr>
    </w:p>
    <w:p>
      <w:r>
        <w:t>Rubricas não somáveis.  Quadro consolidado de empregados</w:t>
      </w:r>
    </w:p>
    <w:p>
      <w:pPr>
        <w:pStyle w:val="Heading2"/>
      </w:pPr>
      <w:r>
        <w:t>Impacto trabalho e aplicações</w:t>
      </w:r>
    </w:p>
    <w:p>
      <w:r>
        <w:t>Social e ambiente: Relatório publicado em 2025 informa restituição de mais de 1,6 bilhão de galões de água em regiões de estresse hídrico alto/médio em 2024. Ano de publicação não é ano da métrica; não usar como indicador de 2025.</w:t>
      </w:r>
      <w:hyperlink r:id="rId64">
        <w:r>
          <w:rPr>
            <w:color w:val="225A46"/>
          </w:rPr>
          <w:t> [fonte]</w:t>
        </w:r>
      </w:hyperlink>
    </w:p>
    <w:p>
      <w:r>
        <w:t>Trabalho: Relata alcançar mais de 60 mil trabalhadores da manufatura com ações de capacitação sobre direitos humanos e conformidade ambiental. Alcance não mede satisfação, melhoria salarial ou remediação efetiva.</w:t>
      </w:r>
      <w:hyperlink r:id="rId64">
        <w:r>
          <w:rPr>
            <w:color w:val="225A46"/>
          </w:rPr>
          <w:t> [fonte]</w:t>
        </w:r>
      </w:hyperlink>
    </w:p>
    <w:p>
      <w:r>
        <w:t>Aplicações: Compras de títulos negociáveis US$36.929 milhões; vendas/vencimentos US$26.874 milhões; aplicação líquida calculada US$10.055 milhões.</w:t>
      </w:r>
      <w:hyperlink r:id="rId65">
        <w:r>
          <w:rPr>
            <w:color w:val="225A46"/>
          </w:rPr>
          <w:t> [fonte]</w:t>
        </w:r>
      </w:hyperlink>
    </w:p>
    <w:p>
      <w:pPr>
        <w:pStyle w:val="Heading2"/>
      </w:pPr>
      <w:r>
        <w:t>Prioridades de melhoria</w:t>
      </w:r>
    </w:p>
    <w:p>
      <w:pPr>
        <w:pStyle w:val="ListBullet"/>
      </w:pPr>
      <w:r>
        <w:t>Publicar métricas auditáveis de segurança, fraudes e recursos de usuários, com tempo de resposta humana, resultados por faixa etária e acessibilidade.</w:t>
      </w:r>
    </w:p>
    <w:p>
      <w:pPr>
        <w:pStyle w:val="ListBullet"/>
      </w:pPr>
      <w:r>
        <w:t>Apresentar plano de humanização da IA com requalificação, mobilidade interna e indicadores de qualidade do emprego incluindo terceirizados.</w:t>
      </w:r>
    </w:p>
    <w:p>
      <w:pPr>
        <w:pStyle w:val="ListBullet"/>
      </w:pPr>
      <w:r>
        <w:t>Conciliar orçamento socioambiental aos impactos próprios e publicar resultados por bacia hidrográfica e emissões absolutas, com escopo de asseguração e anos claramente identificados.</w:t>
      </w:r>
    </w:p>
    <w:p>
      <w:r>
        <w:br w:type="page"/>
      </w:r>
    </w:p>
    <w:p>
      <w:pPr>
        <w:pStyle w:val="Heading1"/>
      </w:pPr>
      <w:r>
        <w:t>Meta evidências e limites</w:t>
      </w:r>
    </w:p>
    <w:p>
      <w:pPr>
        <w:pStyle w:val="Heading2"/>
      </w:pPr>
      <w:r>
        <w:t>Casos selecionados e situação conhecida</w:t>
      </w:r>
    </w:p>
    <w:p>
      <w:r>
        <w:t>FTC — monopolização / Instagram e WhatsApp | Federal Trade Commission (EUA) | 2026-01-20</w:t>
      </w:r>
    </w:p>
    <w:p>
      <w:r>
        <w:t>Tribunal decidiu favoravelmente à Meta em novembro de 2025; FTC apresentou aviso de recurso em janeiro de 2026.</w:t>
      </w:r>
    </w:p>
    <w:p>
      <w:r>
        <w:t>Não chamar Meta de condenada por monopolização neste caso. Desfecho posterior do recurso não confirmado nesta coleta.</w:t>
      </w:r>
    </w:p>
    <w:p>
      <w:hyperlink r:id="rId66">
        <w:r>
          <w:rPr>
            <w:color w:val="225A46"/>
          </w:rPr>
          <w:t>Documento primário</w:t>
        </w:r>
      </w:hyperlink>
    </w:p>
    <w:p>
      <w:r>
        <w:t>Comissão Europeia — modelo consentir ou pagar / DMA | Comissão Europeia | 2025-04-23</w:t>
      </w:r>
    </w:p>
    <w:p>
      <w:r>
        <w:t>Decisão administrativa por descumprimento com multa de EUR 200 milhões.</w:t>
      </w:r>
    </w:p>
    <w:p>
      <w:r>
        <w:t>Não afirmar trânsito em julgado; recurso e conformidade posterior exigem atualização.</w:t>
      </w:r>
    </w:p>
    <w:p>
      <w:hyperlink r:id="rId21">
        <w:r>
          <w:rPr>
            <w:color w:val="225A46"/>
          </w:rPr>
          <w:t>Documento primário</w:t>
        </w:r>
      </w:hyperlink>
    </w:p>
    <w:p>
      <w:pPr>
        <w:pStyle w:val="Heading2"/>
      </w:pPr>
      <w:r>
        <w:t>Lacunas que impedem a nota geral</w:t>
      </w:r>
    </w:p>
    <w:p>
      <w:pPr>
        <w:pStyle w:val="ListBullet"/>
      </w:pPr>
      <w:r>
        <w:t>Destinação exata do lucro</w:t>
      </w:r>
    </w:p>
    <w:p>
      <w:pPr>
        <w:pStyle w:val="ListBullet"/>
      </w:pPr>
      <w:r>
        <w:t>Dados socioambientais de 2025 comparáveis</w:t>
      </w:r>
    </w:p>
    <w:p>
      <w:pPr>
        <w:pStyle w:val="ListBullet"/>
      </w:pPr>
      <w:r>
        <w:t>Satisfação e promoção interna</w:t>
      </w:r>
    </w:p>
    <w:p>
      <w:pPr>
        <w:pStyle w:val="ListBullet"/>
      </w:pPr>
      <w:r>
        <w:t>Eficácia independente de segurança dos usuários</w:t>
      </w:r>
    </w:p>
    <w:p>
      <w:pPr>
        <w:pStyle w:val="ListBullet"/>
      </w:pPr>
      <w:r>
        <w:t>Desfecho de recursos regulatórios</w:t>
      </w:r>
    </w:p>
    <w:p>
      <w:pPr>
        <w:pStyle w:val="Heading2"/>
      </w:pPr>
      <w:r>
        <w:t>Fontes e documentação</w:t>
      </w:r>
    </w:p>
    <w:p>
      <w:r>
        <w:rPr>
          <w:sz w:val="16"/>
        </w:rPr>
        <w:t xml:space="preserve">Fontes consultadas em 18/09/2026: </w:t>
      </w:r>
      <w:hyperlink r:id="rId65">
        <w:r>
          <w:rPr>
            <w:color w:val="225A46"/>
          </w:rPr>
          <w:t>[1] Relatório anual — Meta</w:t>
        </w:r>
      </w:hyperlink>
      <w:r>
        <w:rPr>
          <w:sz w:val="16"/>
        </w:rPr>
        <w:t xml:space="preserve">  </w:t>
      </w:r>
      <w:hyperlink r:id="rId67">
        <w:r>
          <w:rPr>
            <w:color w:val="225A46"/>
          </w:rPr>
          <w:t>[2] Resultados financeiros — Meta</w:t>
        </w:r>
      </w:hyperlink>
      <w:r>
        <w:rPr>
          <w:sz w:val="16"/>
        </w:rPr>
        <w:t xml:space="preserve">  </w:t>
      </w:r>
      <w:hyperlink r:id="rId64">
        <w:r>
          <w:rPr>
            <w:color w:val="225A46"/>
          </w:rPr>
          <w:t>[3] Sustentabilidade — Meta</w:t>
        </w:r>
      </w:hyperlink>
      <w:r>
        <w:rPr>
          <w:sz w:val="16"/>
        </w:rPr>
        <w:t xml:space="preserve">  </w:t>
      </w:r>
      <w:hyperlink r:id="rId68">
        <w:r>
          <w:rPr>
            <w:color w:val="225A46"/>
          </w:rPr>
          <w:t>[4] Relatório de asseguração independente — Meta</w:t>
        </w:r>
      </w:hyperlink>
      <w:r>
        <w:rPr>
          <w:sz w:val="16"/>
        </w:rPr>
        <w:t xml:space="preserve">  </w:t>
      </w:r>
      <w:hyperlink r:id="rId66">
        <w:r>
          <w:rPr>
            <w:color w:val="225A46"/>
          </w:rPr>
          <w:t>[5] Documento da FTC — Meta</w:t>
        </w:r>
      </w:hyperlink>
      <w:r>
        <w:rPr>
          <w:sz w:val="16"/>
        </w:rPr>
        <w:t xml:space="preserve">  </w:t>
      </w:r>
      <w:hyperlink r:id="rId21">
        <w:r>
          <w:rPr>
            <w:color w:val="225A46"/>
          </w:rPr>
          <w:t>[6] Decisão da Comissão Europeia — Meta</w:t>
        </w:r>
      </w:hyperlink>
      <w:r>
        <w:rPr>
          <w:sz w:val="16"/>
        </w:rPr>
        <w:t xml:space="preserve">  </w:t>
      </w:r>
    </w:p>
    <w:p>
      <w:r>
        <w:t>Os dados financeiros, as práticas anunciadas e os impactos não possuem necessariamente o mesmo nível de verificação. Consulta documental não equivale a auditoria independente da empresa. A íntegra por campo e as ressalvas adicionais estão no catálogo digital.</w:t>
      </w:r>
    </w:p>
    <w:p>
      <w:hyperlink r:id="rId69">
        <w:r>
          <w:rPr>
            <w:color w:val="225A46"/>
          </w:rPr>
          <w:t>Abrir ficha completa</w:t>
        </w:r>
      </w:hyperlink>
    </w:p>
    <w:p>
      <w:r>
        <w:br w:type="page"/>
      </w:r>
    </w:p>
    <w:p>
      <w:pPr>
        <w:pStyle w:val="Heading1"/>
      </w:pPr>
      <w:r>
        <w:t>Broadcom</w:t>
      </w:r>
    </w:p>
    <w:p>
      <w:r>
        <w:t>Semicondutores | Estados Unidos | AVGO</w:t>
      </w:r>
    </w:p>
    <w:p>
      <w:r>
        <w:t>Venda de semicondutores; licenciamento, assinaturas e serviços de software de infraestrutura, incluindo VMware. Estrutura produtiva e intensidade de ativos diferem de varejo e nuvem.</w:t>
      </w:r>
    </w:p>
    <w:p>
      <w:r>
        <w:t>Pesquisa e modelo de produção terceirizada exigem leitura além do CAPEX. Licenciamento, consumidores, integração de trabalhadores e cumprimento de compromissos concorrenciais devem completar a avaliação.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63.887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23.126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P&amp;D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10.977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CAPEX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623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Dividendos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11.142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Recompras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2.450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Empregados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 xml:space="preserve"> 33.000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2025-11-02</w:t>
            </w:r>
          </w:p>
        </w:tc>
      </w:tr>
    </w:tbl>
    <w:p>
      <w:pPr>
        <w:spacing w:after="40"/>
      </w:pPr>
    </w:p>
    <w:p>
      <w:r>
        <w:t>Rubricas não somáveis.  Aproximadamente; 57% em funções de P&amp;D</w:t>
      </w:r>
    </w:p>
    <w:p>
      <w:pPr>
        <w:pStyle w:val="Heading2"/>
      </w:pPr>
      <w:r>
        <w:t>Impacto trabalho e aplicações</w:t>
      </w:r>
    </w:p>
    <w:p>
      <w:r>
        <w:t>Social e ambiente: Declara US$7,6 milhões em contrapartida a doações de empregados a organizações beneficentes. Valor cobre este programa, não total social; não há avaliação de impacto independente localizada.</w:t>
      </w:r>
      <w:hyperlink r:id="rId70">
        <w:r>
          <w:rPr>
            <w:color w:val="225A46"/>
          </w:rPr>
          <w:t> [fonte]</w:t>
        </w:r>
      </w:hyperlink>
    </w:p>
    <w:p>
      <w:r>
        <w:t>Trabalho: Taxa voluntária de saída relatada de 4,1% no FY2025. Retenção não equivale a satisfação e exclui desligamentos involuntários.</w:t>
      </w:r>
      <w:hyperlink r:id="rId71">
        <w:r>
          <w:rPr>
            <w:color w:val="225A46"/>
          </w:rPr>
          <w:t> [fonte]</w:t>
        </w:r>
      </w:hyperlink>
    </w:p>
    <w:p>
      <w:r>
        <w:t>Aplicações: Compras de investimentos US$597 milhões; vendas US$248 milhões; fluxo líquido calculado US$349 milhões.</w:t>
      </w:r>
      <w:hyperlink r:id="rId71">
        <w:r>
          <w:rPr>
            <w:color w:val="225A46"/>
          </w:rPr>
          <w:t> [fonte]</w:t>
        </w:r>
      </w:hyperlink>
    </w:p>
    <w:p>
      <w:pPr>
        <w:pStyle w:val="Heading2"/>
      </w:pPr>
      <w:r>
        <w:t>Prioridades de melhoria</w:t>
      </w:r>
    </w:p>
    <w:p>
      <w:pPr>
        <w:pStyle w:val="ListBullet"/>
      </w:pPr>
      <w:r>
        <w:t>Divulgar indicadores de acessibilidade de licenciamento, previsibilidade contratual, interoperabilidade e suporte, incluindo clientes menores e serviços essenciais.</w:t>
      </w:r>
    </w:p>
    <w:p>
      <w:pPr>
        <w:pStyle w:val="ListBullet"/>
      </w:pPr>
      <w:r>
        <w:t>Publicar quadro de mobilidade, desligamentos, capacitação e satisfação independente, especialmente em integrações de aquisições.</w:t>
      </w:r>
    </w:p>
    <w:p>
      <w:pPr>
        <w:pStyle w:val="ListBullet"/>
      </w:pPr>
      <w:r>
        <w:t>Conciliar contribuições comunitárias e gastos reparatórios aos resultados; ampliar verificação da cadeia de suprimentos, escopo 3 e resultados educacionais.</w:t>
      </w:r>
    </w:p>
    <w:p>
      <w:r>
        <w:br w:type="page"/>
      </w:r>
    </w:p>
    <w:p>
      <w:pPr>
        <w:pStyle w:val="Heading1"/>
      </w:pPr>
      <w:r>
        <w:t>Broadcom evidências e limites</w:t>
      </w:r>
    </w:p>
    <w:p>
      <w:pPr>
        <w:pStyle w:val="Heading2"/>
      </w:pPr>
      <w:r>
        <w:t>Casos selecionados e situação conhecida</w:t>
      </w:r>
    </w:p>
    <w:p>
      <w:r>
        <w:t>FTC — exclusividade em chips para banda larga e televisão | Federal Trade Commission (EUA) | 2021-11-04</w:t>
      </w:r>
    </w:p>
    <w:p>
      <w:r>
        <w:t>Ordem final por consentimento emitida em 2021 com restrições a exclusividade; ordem prevê término em 2031. Página cadastral da FTC ainda exibe Pending.</w:t>
      </w:r>
    </w:p>
    <w:p>
      <w:r>
        <w:t>Explicitar discrepância do rótulo cadastral; não chamar de condenação criminal nem inferir cumprimento integral.</w:t>
      </w:r>
    </w:p>
    <w:p>
      <w:hyperlink r:id="rId72">
        <w:r>
          <w:rPr>
            <w:color w:val="225A46"/>
          </w:rPr>
          <w:t>Documento primário</w:t>
        </w:r>
      </w:hyperlink>
    </w:p>
    <w:p>
      <w:pPr>
        <w:pStyle w:val="Heading2"/>
      </w:pPr>
      <w:r>
        <w:t>Lacunas que impedem a nota geral</w:t>
      </w:r>
    </w:p>
    <w:p>
      <w:pPr>
        <w:pStyle w:val="ListBullet"/>
      </w:pPr>
      <w:r>
        <w:t>Total de investimento social e resultados</w:t>
      </w:r>
    </w:p>
    <w:p>
      <w:pPr>
        <w:pStyle w:val="ListBullet"/>
      </w:pPr>
      <w:r>
        <w:t>Satisfação e promoção interna</w:t>
      </w:r>
    </w:p>
    <w:p>
      <w:pPr>
        <w:pStyle w:val="ListBullet"/>
      </w:pPr>
      <w:r>
        <w:t>Separação das aplicações financeiras por finalidade</w:t>
      </w:r>
    </w:p>
    <w:p>
      <w:pPr>
        <w:pStyle w:val="ListBullet"/>
      </w:pPr>
      <w:r>
        <w:t>Parecer completo de asseguração</w:t>
      </w:r>
    </w:p>
    <w:p>
      <w:pPr>
        <w:pStyle w:val="ListBullet"/>
      </w:pPr>
      <w:r>
        <w:t>Cumprimento atual da ordem FTC</w:t>
      </w:r>
    </w:p>
    <w:p>
      <w:pPr>
        <w:pStyle w:val="Heading2"/>
      </w:pPr>
      <w:r>
        <w:t>Fontes e documentação</w:t>
      </w:r>
    </w:p>
    <w:p>
      <w:r>
        <w:rPr>
          <w:sz w:val="16"/>
        </w:rPr>
        <w:t xml:space="preserve">Fontes consultadas em 18/09/2026: </w:t>
      </w:r>
      <w:hyperlink r:id="rId71">
        <w:r>
          <w:rPr>
            <w:color w:val="225A46"/>
          </w:rPr>
          <w:t>[1] Relatório anual — Broadcom</w:t>
        </w:r>
      </w:hyperlink>
      <w:r>
        <w:rPr>
          <w:sz w:val="16"/>
        </w:rPr>
        <w:t xml:space="preserve">  </w:t>
      </w:r>
      <w:hyperlink r:id="rId73">
        <w:r>
          <w:rPr>
            <w:color w:val="225A46"/>
          </w:rPr>
          <w:t>[2] Resultados financeiros — Broadcom</w:t>
        </w:r>
      </w:hyperlink>
      <w:r>
        <w:rPr>
          <w:sz w:val="16"/>
        </w:rPr>
        <w:t xml:space="preserve">  </w:t>
      </w:r>
      <w:hyperlink r:id="rId74">
        <w:r>
          <w:rPr>
            <w:color w:val="225A46"/>
          </w:rPr>
          <w:t>[3] Sustentabilidade — Broadcom</w:t>
        </w:r>
      </w:hyperlink>
      <w:r>
        <w:rPr>
          <w:sz w:val="16"/>
        </w:rPr>
        <w:t xml:space="preserve">  </w:t>
      </w:r>
      <w:hyperlink r:id="rId70">
        <w:r>
          <w:rPr>
            <w:color w:val="225A46"/>
          </w:rPr>
          <w:t>[4] Comunidades — Broadcom</w:t>
        </w:r>
      </w:hyperlink>
      <w:r>
        <w:rPr>
          <w:sz w:val="16"/>
        </w:rPr>
        <w:t xml:space="preserve">  </w:t>
      </w:r>
      <w:hyperlink r:id="rId75">
        <w:r>
          <w:rPr>
            <w:color w:val="225A46"/>
          </w:rPr>
          <w:t>[5] Ambiente — Broadcom</w:t>
        </w:r>
      </w:hyperlink>
      <w:r>
        <w:rPr>
          <w:sz w:val="16"/>
        </w:rPr>
        <w:t xml:space="preserve">  </w:t>
      </w:r>
      <w:hyperlink r:id="rId72">
        <w:r>
          <w:rPr>
            <w:color w:val="225A46"/>
          </w:rPr>
          <w:t>[6] Documento da FTC — Broadcom</w:t>
        </w:r>
      </w:hyperlink>
      <w:r>
        <w:rPr>
          <w:sz w:val="16"/>
        </w:rPr>
        <w:t xml:space="preserve">  </w:t>
      </w:r>
      <w:hyperlink r:id="rId76">
        <w:r>
          <w:rPr>
            <w:color w:val="225A46"/>
          </w:rPr>
          <w:t>[7] Ordem final da FTC — Broadcom</w:t>
        </w:r>
      </w:hyperlink>
      <w:r>
        <w:rPr>
          <w:sz w:val="16"/>
        </w:rPr>
        <w:t xml:space="preserve">  </w:t>
      </w:r>
    </w:p>
    <w:p>
      <w:r>
        <w:t>Os dados financeiros, as práticas anunciadas e os impactos não possuem necessariamente o mesmo nível de verificação. Consulta documental não equivale a auditoria independente da empresa. A íntegra por campo e as ressalvas adicionais estão no catálogo digital.</w:t>
      </w:r>
    </w:p>
    <w:p>
      <w:hyperlink r:id="rId77">
        <w:r>
          <w:rPr>
            <w:color w:val="225A46"/>
          </w:rPr>
          <w:t>Abrir ficha completa</w:t>
        </w:r>
      </w:hyperlink>
    </w:p>
    <w:p>
      <w:r>
        <w:br w:type="page"/>
      </w:r>
    </w:p>
    <w:p>
      <w:pPr>
        <w:pStyle w:val="Heading1"/>
      </w:pPr>
      <w:r>
        <w:t>Saudi Aramco</w:t>
      </w:r>
    </w:p>
    <w:p>
      <w:r>
        <w:t>Energia | Arábia Saudita | 2222</w:t>
      </w:r>
    </w:p>
    <w:p>
      <w:r>
        <w:t>Exploração e produção de petróleo e gás, refino, comercialização e petroquímica. Receitas dependem de volumes e preços de hidrocarbonetos e derivados.</w:t>
      </w:r>
    </w:p>
    <w:p>
      <w:r>
        <w:t>Lucro e dividendos elevados exigem análise proporcional dos impactos, inclusive climáticos. Indicadores de pessoas e sustentabilidade têm perímetro diferente do consolidado; não é possível inferir uma nota global a partir deles.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C35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Receita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415.824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Lucro líquido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93.389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P&amp;D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1.451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CAPEX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50.785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Dividendos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85.453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Recompras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USD 0 mi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4EC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FY2025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Empregados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 xml:space="preserve"> 76.664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2025-12-31</w:t>
            </w:r>
          </w:p>
        </w:tc>
      </w:tr>
    </w:tbl>
    <w:p>
      <w:pPr>
        <w:spacing w:after="40"/>
      </w:pPr>
    </w:p>
    <w:p>
      <w:r>
        <w:t>Rubricas não somáveis. Lucro IFRS consolidado; atribuível aos acionistas USD 92.811 milhões. NÃO usar lucro ajustado de USD 104,7 bilhões como se fosse IFRS. PERÍMETRO Company in-Kingdom: não é todo o grupo global consolidado.</w:t>
      </w:r>
    </w:p>
    <w:p>
      <w:pPr>
        <w:pStyle w:val="Heading2"/>
      </w:pPr>
      <w:r>
        <w:t>Impacto trabalho e aplicações</w:t>
      </w:r>
    </w:p>
    <w:p>
      <w:r>
        <w:t>Social e ambiente: Relata projetos de educação, biodiversidade, saúde e energia para comunidades.</w:t>
      </w:r>
      <w:hyperlink r:id="rId78">
        <w:r>
          <w:rPr>
            <w:color w:val="225A46"/>
          </w:rPr>
          <w:t> [fonte]</w:t>
        </w:r>
      </w:hyperlink>
    </w:p>
    <w:p>
      <w:r>
        <w:t>Trabalho: Média de treinamento divulgada no perímetro do relatório; não é orçamento nem prova de satisfação. Valor:  167 horas por empregado.</w:t>
      </w:r>
      <w:hyperlink r:id="rId79">
        <w:r>
          <w:rPr>
            <w:color w:val="225A46"/>
          </w:rPr>
          <w:t> [fonte]</w:t>
        </w:r>
      </w:hyperlink>
    </w:p>
    <w:p>
      <w:r>
        <w:t>Aplicações: Compras líquidas de investimentos em títulos. Valor: USD 6.575 milhões.</w:t>
      </w:r>
      <w:hyperlink r:id="rId80">
        <w:r>
          <w:rPr>
            <w:color w:val="225A46"/>
          </w:rPr>
          <w:t> [fonte]</w:t>
        </w:r>
      </w:hyperlink>
    </w:p>
    <w:p>
      <w:pPr>
        <w:pStyle w:val="Heading2"/>
      </w:pPr>
      <w:r>
        <w:t>Prioridades de melhoria</w:t>
      </w:r>
    </w:p>
    <w:p>
      <w:pPr>
        <w:pStyle w:val="ListBullet"/>
      </w:pPr>
      <w:r>
        <w:t>Vincular desembolsos a remediação e transição ambiental verificáveis, com emissões da cadeia de valor e resultados locais além dos escopos operacionais.</w:t>
      </w:r>
    </w:p>
    <w:p>
      <w:pPr>
        <w:pStyle w:val="ListBullet"/>
      </w:pPr>
      <w:r>
        <w:t>Divulgar quadro e indicadores do grupo global e de contratados, orçamento de desenvolvimento, satisfação, progressão e prevenção de fatalidades.</w:t>
      </w:r>
    </w:p>
    <w:p>
      <w:pPr>
        <w:pStyle w:val="ListBullet"/>
      </w:pPr>
      <w:r>
        <w:t>Conciliar destinação anual de capital, dividendos, tesouraria, P&amp;D e contribuições voluntárias, distinguindo remediação obrigatória de impacto adicional.</w:t>
      </w:r>
    </w:p>
    <w:p>
      <w:r>
        <w:br w:type="page"/>
      </w:r>
    </w:p>
    <w:p>
      <w:pPr>
        <w:pStyle w:val="Heading1"/>
      </w:pPr>
      <w:r>
        <w:t>Saudi Aramco evidências e limites</w:t>
      </w:r>
    </w:p>
    <w:p>
      <w:pPr>
        <w:pStyle w:val="Heading2"/>
      </w:pPr>
      <w:r>
        <w:t>Casos selecionados e situação conhecida</w:t>
      </w:r>
    </w:p>
    <w:p>
      <w:r>
        <w:t>Nenhum caso com desfecho suficiente foi incluído nesta coleta. Isso não equivale à ausência de processos, danos ou irregularidades.</w:t>
      </w:r>
    </w:p>
    <w:p>
      <w:pPr>
        <w:pStyle w:val="Heading2"/>
      </w:pPr>
      <w:r>
        <w:t>Lacunas que impedem a nota geral</w:t>
      </w:r>
    </w:p>
    <w:p>
      <w:pPr>
        <w:pStyle w:val="ListBullet"/>
      </w:pPr>
      <w:r>
        <w:t>USD é tradução suplementar dos valores-base em SAR; não usar câmbio de mercado para reconverter esses números.</w:t>
      </w:r>
    </w:p>
    <w:p>
      <w:pPr>
        <w:pStyle w:val="ListBullet"/>
      </w:pPr>
      <w:r>
        <w:t>Lucro ajustado e lucro IFRS são diferentes.</w:t>
      </w:r>
    </w:p>
    <w:p>
      <w:pPr>
        <w:pStyle w:val="ListBullet"/>
      </w:pPr>
      <w:r>
        <w:t>Quadro de 76.664 é Company in-Kingdom, diferente do perímetro financeiro consolidado.</w:t>
      </w:r>
    </w:p>
    <w:p>
      <w:pPr>
        <w:pStyle w:val="ListBullet"/>
      </w:pPr>
      <w:r>
        <w:t>Contribuição social publicada não basta para certificar a adesão a 30% do lucro.</w:t>
      </w:r>
    </w:p>
    <w:p>
      <w:pPr>
        <w:pStyle w:val="ListBullet"/>
      </w:pPr>
      <w:r>
        <w:t>Série financeira de cinco a dez anos e avaliações histórica e atual completas.</w:t>
      </w:r>
    </w:p>
    <w:p>
      <w:pPr>
        <w:pStyle w:val="Heading2"/>
      </w:pPr>
      <w:r>
        <w:t>Fontes e documentação</w:t>
      </w:r>
    </w:p>
    <w:p>
      <w:r>
        <w:rPr>
          <w:sz w:val="16"/>
        </w:rPr>
        <w:t xml:space="preserve">Fontes consultadas em 18/09/2026: </w:t>
      </w:r>
      <w:hyperlink r:id="rId80">
        <w:r>
          <w:rPr>
            <w:color w:val="225A46"/>
          </w:rPr>
          <w:t>[1] Demonstrações financeiras consolidadas 2025</w:t>
        </w:r>
      </w:hyperlink>
      <w:r>
        <w:rPr>
          <w:sz w:val="16"/>
        </w:rPr>
        <w:t xml:space="preserve">  </w:t>
      </w:r>
      <w:hyperlink r:id="rId79">
        <w:r>
          <w:rPr>
            <w:color w:val="225A46"/>
          </w:rPr>
          <w:t>[2] Relatório de sustentabilidade 2025</w:t>
        </w:r>
      </w:hyperlink>
      <w:r>
        <w:rPr>
          <w:sz w:val="16"/>
        </w:rPr>
        <w:t xml:space="preserve">  </w:t>
      </w:r>
      <w:hyperlink r:id="rId81">
        <w:r>
          <w:rPr>
            <w:color w:val="225A46"/>
          </w:rPr>
          <w:t>[3] Resultados anuais publicados em 10/03/2026</w:t>
        </w:r>
      </w:hyperlink>
      <w:r>
        <w:rPr>
          <w:sz w:val="16"/>
        </w:rPr>
        <w:t xml:space="preserve">  </w:t>
      </w:r>
      <w:hyperlink r:id="rId82">
        <w:r>
          <w:rPr>
            <w:color w:val="225A46"/>
          </w:rPr>
          <w:t>[4] Sociedade: contribuições sociais 2025</w:t>
        </w:r>
      </w:hyperlink>
      <w:r>
        <w:rPr>
          <w:sz w:val="16"/>
        </w:rPr>
        <w:t xml:space="preserve">  </w:t>
      </w:r>
      <w:hyperlink r:id="rId83">
        <w:r>
          <w:rPr>
            <w:color w:val="225A46"/>
          </w:rPr>
          <w:t>[5] Relatório oficial com contato IR</w:t>
        </w:r>
      </w:hyperlink>
      <w:r>
        <w:rPr>
          <w:sz w:val="16"/>
        </w:rPr>
        <w:t xml:space="preserve">  </w:t>
      </w:r>
      <w:hyperlink r:id="rId84">
        <w:r>
          <w:rPr>
            <w:color w:val="225A46"/>
          </w:rPr>
          <w:t>[6] Saudi Exchange: símbolo 2222 e anúncio de 2026</w:t>
        </w:r>
      </w:hyperlink>
      <w:r>
        <w:rPr>
          <w:sz w:val="16"/>
        </w:rPr>
        <w:t xml:space="preserve">  </w:t>
      </w:r>
    </w:p>
    <w:p>
      <w:r>
        <w:t>Os dados financeiros, as práticas anunciadas e os impactos não possuem necessariamente o mesmo nível de verificação. Consulta documental não equivale a auditoria independente da empresa. A íntegra por campo e as ressalvas adicionais estão no catálogo digital.</w:t>
      </w:r>
    </w:p>
    <w:p>
      <w:hyperlink r:id="rId85">
        <w:r>
          <w:rPr>
            <w:color w:val="225A46"/>
          </w:rPr>
          <w:t>Abrir ficha completa</w:t>
        </w:r>
      </w:hyperlink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ÍNDOLE 360  |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ompaniesmarketcap.com/" TargetMode="External"/><Relationship Id="rId11" Type="http://schemas.openxmlformats.org/officeDocument/2006/relationships/hyperlink" Target="https://aldenirfilho.github.io/INDOLE-360/" TargetMode="External"/><Relationship Id="rId12" Type="http://schemas.openxmlformats.org/officeDocument/2006/relationships/hyperlink" Target="https://images.nvidia.com/aem-dam/Solutions/documents/NVIDIA-Sustainability-Report-Fiscal-Year-2026.pdf" TargetMode="External"/><Relationship Id="rId13" Type="http://schemas.openxmlformats.org/officeDocument/2006/relationships/hyperlink" Target="https://www.sec.gov/Archives/edgar/data/1045810/000104581026000021/nvda-20260125.htm" TargetMode="External"/><Relationship Id="rId14" Type="http://schemas.openxmlformats.org/officeDocument/2006/relationships/hyperlink" Target="https://www.sec.gov/newsroom/press-releases/2022-79" TargetMode="External"/><Relationship Id="rId15" Type="http://schemas.openxmlformats.org/officeDocument/2006/relationships/hyperlink" Target="https://www.nvidia.com/en-eu/foundation/reports/" TargetMode="External"/><Relationship Id="rId16" Type="http://schemas.openxmlformats.org/officeDocument/2006/relationships/hyperlink" Target="https://investor.nvidia.com/files/content_files/TRANSCRIPT_-NVIDIA-Corp-NVDA-US-Q2-2027-Earnings-Call-26-August-2026-5_00-PM-ET.pdf" TargetMode="External"/><Relationship Id="rId17" Type="http://schemas.openxmlformats.org/officeDocument/2006/relationships/hyperlink" Target="https://aldenirfilho.github.io/INDOLE-360/#empresa=nvidia" TargetMode="External"/><Relationship Id="rId18" Type="http://schemas.openxmlformats.org/officeDocument/2006/relationships/hyperlink" Target="https://www.apple.com/environment/pdf/Apple_Environmental_Progress_Report_2026.pdf" TargetMode="External"/><Relationship Id="rId19" Type="http://schemas.openxmlformats.org/officeDocument/2006/relationships/hyperlink" Target="https://www.apple.com/in/newsroom/2026/02/apple-launches-new-education-hub-for-supplier-employees-in-india/" TargetMode="External"/><Relationship Id="rId20" Type="http://schemas.openxmlformats.org/officeDocument/2006/relationships/hyperlink" Target="https://www.sec.gov/Archives/edgar/data/320193/000032019325000079/aapl-20250927.htm" TargetMode="External"/><Relationship Id="rId21" Type="http://schemas.openxmlformats.org/officeDocument/2006/relationships/hyperlink" Target="https://digital-strategy.ec.europa.eu/en/news/commission-finds-apple-and-meta-breach-digital-markets-act" TargetMode="External"/><Relationship Id="rId22" Type="http://schemas.openxmlformats.org/officeDocument/2006/relationships/hyperlink" Target="https://www.apple.com/supply-chain/" TargetMode="External"/><Relationship Id="rId23" Type="http://schemas.openxmlformats.org/officeDocument/2006/relationships/hyperlink" Target="https://investor.apple.com/contact/" TargetMode="External"/><Relationship Id="rId24" Type="http://schemas.openxmlformats.org/officeDocument/2006/relationships/hyperlink" Target="https://www.apple.com/leadership/john-ternus/" TargetMode="External"/><Relationship Id="rId25" Type="http://schemas.openxmlformats.org/officeDocument/2006/relationships/hyperlink" Target="https://www.apple.com/au/newsroom/2026/04/tim-cook-to-become-apple-executive-chairman-john-ternus-to-become-apple-ceo/" TargetMode="External"/><Relationship Id="rId26" Type="http://schemas.openxmlformats.org/officeDocument/2006/relationships/hyperlink" Target="https://aldenirfilho.github.io/INDOLE-360/#empresa=apple" TargetMode="External"/><Relationship Id="rId27" Type="http://schemas.openxmlformats.org/officeDocument/2006/relationships/hyperlink" Target="https://sustainability.google/google-2026-environmental-report/" TargetMode="External"/><Relationship Id="rId28" Type="http://schemas.openxmlformats.org/officeDocument/2006/relationships/hyperlink" Target="https://www.sec.gov/Archives/edgar/data/1652044/000165204426000018/goog-20251231.htm" TargetMode="External"/><Relationship Id="rId29" Type="http://schemas.openxmlformats.org/officeDocument/2006/relationships/hyperlink" Target="https://www.justice.gov/opa/pr/department-justice-wins-significant-remedies-against-google" TargetMode="External"/><Relationship Id="rId30" Type="http://schemas.openxmlformats.org/officeDocument/2006/relationships/hyperlink" Target="https://www.justice.gov/opa/pr/department-justice-again-wins-substantial-relief-against-google" TargetMode="External"/><Relationship Id="rId31" Type="http://schemas.openxmlformats.org/officeDocument/2006/relationships/hyperlink" Target="https://blog.google/company-news/outreach-and-initiatives/sustainability/2026-environmental-report/" TargetMode="External"/><Relationship Id="rId32" Type="http://schemas.openxmlformats.org/officeDocument/2006/relationships/hyperlink" Target="https://www.sec.gov/Archives/edgar/data/1652044/000165204426000066/googexhibit991q22026.htm" TargetMode="External"/><Relationship Id="rId33" Type="http://schemas.openxmlformats.org/officeDocument/2006/relationships/hyperlink" Target="https://aldenirfilho.github.io/INDOLE-360/#empresa=alphabet" TargetMode="External"/><Relationship Id="rId34" Type="http://schemas.openxmlformats.org/officeDocument/2006/relationships/hyperlink" Target="https://blogs.microsoft.com/on-the-issues/2026/07/09/responsibly-building-the-ai-future/" TargetMode="External"/><Relationship Id="rId35" Type="http://schemas.openxmlformats.org/officeDocument/2006/relationships/hyperlink" Target="https://www.sec.gov/Archives/edgar/data/789019/000119312526323660/msft-20260630.htm" TargetMode="External"/><Relationship Id="rId36" Type="http://schemas.openxmlformats.org/officeDocument/2006/relationships/hyperlink" Target="https://www.microsoft.com/en-us/investor/earnings/fy-2026-q4/press-release-webcast" TargetMode="External"/><Relationship Id="rId37" Type="http://schemas.openxmlformats.org/officeDocument/2006/relationships/hyperlink" Target="https://eur-lex.europa.eu/legal-content/EN/TXT/PDF/?uri=OJ:C_202506579" TargetMode="External"/><Relationship Id="rId38" Type="http://schemas.openxmlformats.org/officeDocument/2006/relationships/hyperlink" Target="https://www.microsoft.com/en-us/corporate-responsibility/topics/sustainability/report/" TargetMode="External"/><Relationship Id="rId39" Type="http://schemas.openxmlformats.org/officeDocument/2006/relationships/hyperlink" Target="https://www.microsoft.com/en-us/investor/contact-information" TargetMode="External"/><Relationship Id="rId40" Type="http://schemas.openxmlformats.org/officeDocument/2006/relationships/hyperlink" Target="https://news.microsoft.com/source/leadership" TargetMode="External"/><Relationship Id="rId41" Type="http://schemas.openxmlformats.org/officeDocument/2006/relationships/hyperlink" Target="https://aldenirfilho.github.io/INDOLE-360/#empresa=microsoft" TargetMode="External"/><Relationship Id="rId42" Type="http://schemas.openxmlformats.org/officeDocument/2006/relationships/hyperlink" Target="https://sustainability.aboutamazon.com/2025-report" TargetMode="External"/><Relationship Id="rId43" Type="http://schemas.openxmlformats.org/officeDocument/2006/relationships/hyperlink" Target="https://www.aboutamazon.com/news/workplace/amazon-workplace-safety-2025-injury-reduction" TargetMode="External"/><Relationship Id="rId44" Type="http://schemas.openxmlformats.org/officeDocument/2006/relationships/hyperlink" Target="https://ir.aboutamazon.com/news-release/news-release-details/2026/Amazon-com-Announces-Fourth-Quarter-Results/" TargetMode="External"/><Relationship Id="rId45" Type="http://schemas.openxmlformats.org/officeDocument/2006/relationships/hyperlink" Target="https://www.ftc.gov/news-events/news/press-releases/2025/09/ftc-secures-historic-25-billion-settlement-against-amazon" TargetMode="External"/><Relationship Id="rId46" Type="http://schemas.openxmlformats.org/officeDocument/2006/relationships/hyperlink" Target="https://www.dol.gov/newsroom/releases/osha/osha20241219" TargetMode="External"/><Relationship Id="rId47" Type="http://schemas.openxmlformats.org/officeDocument/2006/relationships/hyperlink" Target="https://s2.q4cdn.com/299287126/files/doc_financials/2026/ar/Amazon-2025-Annual-Report.pdf" TargetMode="External"/><Relationship Id="rId48" Type="http://schemas.openxmlformats.org/officeDocument/2006/relationships/hyperlink" Target="https://ir.aboutamazon.com/contact-us-and-request-documents/" TargetMode="External"/><Relationship Id="rId49" Type="http://schemas.openxmlformats.org/officeDocument/2006/relationships/hyperlink" Target="https://aldenirfilho.github.io/INDOLE-360/#empresa=amazon" TargetMode="External"/><Relationship Id="rId50" Type="http://schemas.openxmlformats.org/officeDocument/2006/relationships/hyperlink" Target="https://esg.tsmc.com.tw/robots.txt/articles/414" TargetMode="External"/><Relationship Id="rId51" Type="http://schemas.openxmlformats.org/officeDocument/2006/relationships/hyperlink" Target="https://investor.tsmc.com/sites/ir/financial-report/2025/TSMC%202025Q4%20Consolidated%20Financial%20Statements_E.pdf" TargetMode="External"/><Relationship Id="rId52" Type="http://schemas.openxmlformats.org/officeDocument/2006/relationships/hyperlink" Target="https://www.usitc.gov/secretary/fed_reg_notices/337/337_1443_notice09032026sgl.pdf" TargetMode="External"/><Relationship Id="rId53" Type="http://schemas.openxmlformats.org/officeDocument/2006/relationships/hyperlink" Target="https://investor.tsmc.com/sites/ir/annual-report/2025/2025%20Annual%20Report.E.pdf" TargetMode="External"/><Relationship Id="rId54" Type="http://schemas.openxmlformats.org/officeDocument/2006/relationships/hyperlink" Target="https://investor.tsmc.com/english" TargetMode="External"/><Relationship Id="rId55" Type="http://schemas.openxmlformats.org/officeDocument/2006/relationships/hyperlink" Target="https://aldenirfilho.github.io/INDOLE-360/#empresa=tsmc" TargetMode="External"/><Relationship Id="rId56" Type="http://schemas.openxmlformats.org/officeDocument/2006/relationships/hyperlink" Target="https://starlink.com/public-files/starlinkProgressReport_2025.pdf" TargetMode="External"/><Relationship Id="rId57" Type="http://schemas.openxmlformats.org/officeDocument/2006/relationships/hyperlink" Target="https://content.spacex.com/cms-assets/FINAL_Documents%20and%20Updates/SpaceX%20-%20EU%20Prospectus%20%28Approved%20by%20Bafin%29%20-%20June%205%2C%202026.pdf" TargetMode="External"/><Relationship Id="rId58" Type="http://schemas.openxmlformats.org/officeDocument/2006/relationships/hyperlink" Target="https://yosemite.epa.gov/oa/rhc/epaadmin.nsf/Filings/51FC75AF032DEC4B85258C14000B521C/%24File/2024-1768.pdf" TargetMode="External"/><Relationship Id="rId59" Type="http://schemas.openxmlformats.org/officeDocument/2006/relationships/hyperlink" Target="https://www.faa.gov/newsroom/faa-proposes-633009-civil-penalties-against-spacex" TargetMode="External"/><Relationship Id="rId60" Type="http://schemas.openxmlformats.org/officeDocument/2006/relationships/hyperlink" Target="https://www.nlrb.gov/case/19-CA-309274" TargetMode="External"/><Relationship Id="rId61" Type="http://schemas.openxmlformats.org/officeDocument/2006/relationships/hyperlink" Target="https://ir.spacex.com/updates/releases-details/2026/Space-Exploration-Technologies-Corp--Announces-Pricing-of-Initial-Public-Offering/default.aspx" TargetMode="External"/><Relationship Id="rId62" Type="http://schemas.openxmlformats.org/officeDocument/2006/relationships/hyperlink" Target="https://ir.spacex.com/faqs-and-contact/default.aspx" TargetMode="External"/><Relationship Id="rId63" Type="http://schemas.openxmlformats.org/officeDocument/2006/relationships/hyperlink" Target="https://aldenirfilho.github.io/INDOLE-360/#empresa=spacex" TargetMode="External"/><Relationship Id="rId64" Type="http://schemas.openxmlformats.org/officeDocument/2006/relationships/hyperlink" Target="https://sustainability.atmeta.com/asset/2025-sustainability-report" TargetMode="External"/><Relationship Id="rId65" Type="http://schemas.openxmlformats.org/officeDocument/2006/relationships/hyperlink" Target="https://www.sec.gov/Archives/edgar/data/1326801/000162828026003942/meta-20251231.htm" TargetMode="External"/><Relationship Id="rId66" Type="http://schemas.openxmlformats.org/officeDocument/2006/relationships/hyperlink" Target="https://www.ftc.gov/news-events/news/press-releases/2026/01/ftc-appeals-ruling-meta-monopolization-case" TargetMode="External"/><Relationship Id="rId67" Type="http://schemas.openxmlformats.org/officeDocument/2006/relationships/hyperlink" Target="https://investor.atmeta.com/investor-news/press-release-details/2026/Meta-Reports-Fourth-Quarter-and-Full-Year-2025-Results/" TargetMode="External"/><Relationship Id="rId68" Type="http://schemas.openxmlformats.org/officeDocument/2006/relationships/hyperlink" Target="https://sustainability.atmeta.com/asset/2025-independent-accountants-review-report/" TargetMode="External"/><Relationship Id="rId69" Type="http://schemas.openxmlformats.org/officeDocument/2006/relationships/hyperlink" Target="https://aldenirfilho.github.io/INDOLE-360/#empresa=meta" TargetMode="External"/><Relationship Id="rId70" Type="http://schemas.openxmlformats.org/officeDocument/2006/relationships/hyperlink" Target="https://www.broadcom.com/company/corporate-responsibility/communities" TargetMode="External"/><Relationship Id="rId71" Type="http://schemas.openxmlformats.org/officeDocument/2006/relationships/hyperlink" Target="https://www.sec.gov/Archives/edgar/data/1730168/000119312526085733/d46845dars.pdf" TargetMode="External"/><Relationship Id="rId72" Type="http://schemas.openxmlformats.org/officeDocument/2006/relationships/hyperlink" Target="https://www.ftc.gov/legal-library/browse/cases-proceedings/181-0205-broadcom-incorporated-matter" TargetMode="External"/><Relationship Id="rId73" Type="http://schemas.openxmlformats.org/officeDocument/2006/relationships/hyperlink" Target="https://investors.broadcom.com/news-releases/news-release-details/broadcom-inc-announces-fourth-quarter-and-fiscal-year-2025" TargetMode="External"/><Relationship Id="rId74" Type="http://schemas.openxmlformats.org/officeDocument/2006/relationships/hyperlink" Target="https://www.broadcom.com/company/corporate-responsibility" TargetMode="External"/><Relationship Id="rId75" Type="http://schemas.openxmlformats.org/officeDocument/2006/relationships/hyperlink" Target="https://www.broadcom.com/company/corporate-responsibility/environment" TargetMode="External"/><Relationship Id="rId76" Type="http://schemas.openxmlformats.org/officeDocument/2006/relationships/hyperlink" Target="https://www.ftc.gov/system/files/documents/cases/1810205c4750broadcomfinalorder.pdf" TargetMode="External"/><Relationship Id="rId77" Type="http://schemas.openxmlformats.org/officeDocument/2006/relationships/hyperlink" Target="https://aldenirfilho.github.io/INDOLE-360/#empresa=broadcom" TargetMode="External"/><Relationship Id="rId78" Type="http://schemas.openxmlformats.org/officeDocument/2006/relationships/hyperlink" Target="https://www.aramco.com/en/sustainability/sustainability-report/growing-societal-value" TargetMode="External"/><Relationship Id="rId79" Type="http://schemas.openxmlformats.org/officeDocument/2006/relationships/hyperlink" Target="https://www.aramco.com/-/media/publications/corporate-reports/sustainability-reports/report-2025/english/2025-saudi-aramco-sustainability-report-full-en.pdf" TargetMode="External"/><Relationship Id="rId80" Type="http://schemas.openxmlformats.org/officeDocument/2006/relationships/hyperlink" Target="https://www.aramco.com/-/media/publications/corporate-reports/reports-and-presentations/2025/fy/sections/ara-2025-consolidated-english.pdf" TargetMode="External"/><Relationship Id="rId81" Type="http://schemas.openxmlformats.org/officeDocument/2006/relationships/hyperlink" Target="https://www.aramco.com/en/news-media/news/2026/fourth-quarter-and-full-year-press-release" TargetMode="External"/><Relationship Id="rId82" Type="http://schemas.openxmlformats.org/officeDocument/2006/relationships/hyperlink" Target="https://www.aramco.com/en/sustainability/society" TargetMode="External"/><Relationship Id="rId83" Type="http://schemas.openxmlformats.org/officeDocument/2006/relationships/hyperlink" Target="https://www.saudiexchange.sa/Resources/fsPdf/11974_1541_2025-11-04_07-44-51_en.pdf" TargetMode="External"/><Relationship Id="rId84" Type="http://schemas.openxmlformats.org/officeDocument/2006/relationships/hyperlink" Target="https://www.saudiexchange.sa/wps/portal/saudiexchange/newsandreports/issuer-news/issuer-announcements/issuer-announcements-details/?anCat=1&amp;anId=93575&amp;cs=2222&amp;csrt=15247565148337270244&amp;locale=ar" TargetMode="External"/><Relationship Id="rId85" Type="http://schemas.openxmlformats.org/officeDocument/2006/relationships/hyperlink" Target="https://aldenirfilho.github.io/INDOLE-360/#empresa=saudi-aram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ÍNDOLE 360 catálogo das empresas</dc:title>
  <dc:subject/>
  <dc:creator>Aldenir Rocha de Oliveira Filho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