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Portfólio empresarial Microsoft</w:t>
      </w:r>
    </w:p>
    <w:p>
      <w:pPr>
        <w:pStyle w:val="Subtitle"/>
      </w:pPr>
      <w:r>
        <w:t>Conciliação documental e revisão de impacto FY2025</w:t>
      </w:r>
    </w:p>
    <w:p>
      <w:r>
        <w:t>ÍNDOLE 360 • Idealização de Aldenir Rocha • Versão 2.2 • 18 setembro 2026</w:t>
      </w:r>
    </w:p>
    <w:p>
      <w:r>
        <w:t>As demonstrações públicas da Microsoft foram conciliadas aritmeticamente para três exercícios. As 12 conferências de fluxo e caixa fecham sem diferença. A revisão de impacto identificou informações ambientais com asseguração limitada, ações educacionais corroboradas por parceiro e lacunas que impedem calcular a contribuição própria líquida e a adesão ao modelo 30/30/30/10.</w:t>
      </w:r>
    </w:p>
    <w:p>
      <w:r>
        <w:t>O objetivo é orientar consumo responsável e diálogo com empresas. Este dossiê não atribui nota moral e não substitui auditoria contábil, asseguração de impacto ou avaliação profissional independente.</w:t>
      </w:r>
    </w:p>
    <w:p>
      <w:pPr>
        <w:pStyle w:val="Heading2"/>
      </w:pPr>
      <w:r>
        <w:t>Escopo e leitura</w:t>
      </w:r>
    </w:p>
    <w:p>
      <w:r>
        <w:t>Entidade: Microsoft Corporation e controladas, NASDAQ MSFT, Estados Unidos. Base financeira: princípios contábeis dos Estados Unidos (US GAAP), consolidada, em USD milhões. FY2025 vai de 1º de julho de 2024 a 30 de junho de 2025. FY significa exercício fiscal. A série cobre FY2023, FY2024 e FY2025; o documento-base uniforme é o Annual Report 2025.</w:t>
      </w:r>
    </w:p>
    <w:p>
      <w:r>
        <w:t>A ficha FY2026 do catálogo foi preservada. O recorte FY2025 permite confrontar as contas com indicadores ambientais publicados em 2026; cada indicador mantém seu período e perímetro. Aquisições e revisões metodológicas limitam inferências sobre crescimento orgânico.</w:t>
      </w:r>
    </w:p>
    <w:p>
      <w:pPr>
        <w:pStyle w:val="Heading2"/>
      </w:pPr>
      <w:r>
        <w:t>Dimensão econômica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1701"/>
        <w:gridCol w:w="1701"/>
        <w:gridCol w:w="1701"/>
      </w:tblGrid>
      <w:tr>
        <w:trPr>
          <w:tblHeader/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USD milhões salvo empregados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FY2023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FY2024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Receita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211.915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245.122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281.724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Lucro líquido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72.361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88.136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101.832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Pesquisa e desenvolvimento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27.195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29.510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32.488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Adições ao imobilizado em caixa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28.107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44.477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64.551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Dividendos pagos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19.800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21.771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24.082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Recompras pagas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22.245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17.254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18.420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Empregados aproximados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221.000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228.000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228.000</w:t>
            </w:r>
          </w:p>
        </w:tc>
      </w:tr>
    </w:tbl>
    <w:p>
      <w:pPr>
        <w:spacing w:after="40"/>
      </w:pPr>
    </w:p>
    <w:p>
      <w:r>
        <w:t>Roteiro: 1. Escopo e dimensão econômica • 2. Conciliação do caixa • 3. Impacto ambiental • 4. Pessoas e programas • 5. Proposta e comprovantes • 6. Fontes e continuidade</w:t>
      </w:r>
    </w:p>
    <w:p>
      <w:hyperlink r:id="rId10">
        <w:r>
          <w:rPr>
            <w:color w:val="225A46"/>
          </w:rPr>
          <w:t>Fonte financeira e parecer Deloitte de 30 julho 2025</w:t>
        </w:r>
      </w:hyperlink>
    </w:p>
    <w:p>
      <w:r>
        <w:br w:type="page"/>
      </w:r>
    </w:p>
    <w:p>
      <w:pPr>
        <w:pStyle w:val="Heading1"/>
      </w:pPr>
      <w:r>
        <w:t>Conciliação do caixa e dos investimentos</w:t>
      </w:r>
    </w:p>
    <w:p>
      <w:r>
        <w:t>Os valores abaixo mantêm o sinal da demonstração. O cálculo parte do caixa inicial, soma operações, investimentos, financiamento e efeito cambial e chega ao saldo final. Nenhuma rubrica ausente foi convertida em zero.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1701"/>
        <w:gridCol w:w="1701"/>
        <w:gridCol w:w="1701"/>
      </w:tblGrid>
      <w:tr>
        <w:trPr>
          <w:tblHeader/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Ponte do caixa em USD milhões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FY2023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FY2024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Caixa inicial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13.931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34.704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18.315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Fluxo operacional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87.582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118.548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136.162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Fluxo de investimentos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-22.680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-96.970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-72.599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Fluxo de financiamento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-43.935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-37.757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-51.699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Efeito cambial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-194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-210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63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Caixa final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34.704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18.315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30.242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Resíduo calculado menos publicado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</w:tr>
    </w:tbl>
    <w:p>
      <w:pPr>
        <w:spacing w:after="40"/>
      </w:pPr>
    </w:p>
    <w:p>
      <w:r>
        <w:t>As somas internas dos fluxos operacional, de investimentos e de financiamento também reproduzem os totais em cada ano. São 12 verificações: quatro por exercício. A planilha e o JSON preservam todas as parcelas e permitem repetir os cálculos.</w:t>
      </w:r>
    </w:p>
    <w:p>
      <w:pPr>
        <w:pStyle w:val="Heading2"/>
      </w:pPr>
      <w:r>
        <w:t>Aplicações financeiras em FY2025</w:t>
      </w:r>
    </w:p>
    <w:p>
      <w:r>
        <w:t>Compras de investimentos somaram US$ 29.775 milhões; vencimentos, US$ 16.079 milhões; vendas, US$ 9.309 milhões. O movimento dessas três linhas é saída líquida de US$ 4.387 milhões. O total de investimentos de caixa é saída de US$ 72.599 milhões e inclui imobilizado, aquisições, intangíveis e outros movimentos.</w:t>
      </w:r>
    </w:p>
    <w:p>
      <w:r>
        <w:t>A compra bruta não prova aplicação integral do lucro do ano nem sua motivação. A carteira também cumpre funções de liquidez. Para aplicar os critérios autorais de honra, faltam o vínculo entre cada recurso, suas obrigações e o destino final.</w:t>
      </w:r>
    </w:p>
    <w:p>
      <w:pPr>
        <w:pStyle w:val="Heading2"/>
      </w:pPr>
      <w:r>
        <w:t>Versões e dupla contagem</w:t>
      </w:r>
    </w:p>
    <w:p>
      <w:r>
        <w:t>A publicação FY2026 reapresenta dois componentes comparativos de FY2025: depreciação, amortização e outros passa de 34.153 a 29.433, e perdas de investimentos e derivativos de 609 a 5.329. A compensação é 4.720; o fluxo operacional continua 136.162. Esta entrega usa exclusivamente a apresentação AR2025 nas pontes.</w:t>
      </w:r>
    </w:p>
    <w:p>
      <w:r>
        <w:t>Recompras em caixa de 18.420 diferem dos 13.000 sob o programa autorizado. A nota 15 informa ações retidas para tributos de empregados em valores arredondados; a diferença exata não deve ser atribuída integralmente sem conciliar liquidação e arredondamento. Arrendamentos financeiros sem caixa de 20.511 não entram no capex de caixa.</w:t>
      </w:r>
    </w:p>
    <w:p>
      <w:pPr>
        <w:pStyle w:val="Heading2"/>
      </w:pPr>
      <w:r>
        <w:t>Parecer financeiro original</w:t>
      </w:r>
    </w:p>
    <w:p>
      <w:r>
        <w:t>Deloitte &amp; Touche LLP, 30/07/2025: opinião sem ressalva sobre as demonstrações abrangidas. Reconhecimento de receita e posições fiscais incertas foram matérias críticas de auditoria. O parecer não certifica este catálogo, o modelo de destinação ou seus resultados socioambientais.</w:t>
      </w:r>
    </w:p>
    <w:p>
      <w:r>
        <w:br w:type="page"/>
      </w:r>
    </w:p>
    <w:p>
      <w:pPr>
        <w:pStyle w:val="Heading1"/>
      </w:pPr>
      <w:r>
        <w:t>Impacto ambiental e alcance da asseguração</w:t>
      </w:r>
    </w:p>
    <w:p>
      <w:r>
        <w:t>O parecer Deloitte de 09/07/2026 é uma revisão limitada da informação especificada na seção 1 do Environmental Data Fact Sheet 2026, referente ao FY2025, e do indicador de plástico de uso único em 31/12/2025. Exclui seção 2, períodos anteriores, projeções, metas, progresso contra metas e outras narrativas. O escopo não abrange programas sociais.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1701"/>
        <w:gridCol w:w="1701"/>
        <w:gridCol w:w="1701"/>
      </w:tblGrid>
      <w:tr>
        <w:trPr>
          <w:tblHeader/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Indicador da mesma edição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FY2024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FY2025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Variação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GHG tabela1A (tCO2e)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16.693.000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21.121.000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26,53%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GHG critérios administração tabela1B (tCO2e)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16.215.000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20.290.000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25,13%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Eletricidade (MWh)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29.829.540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37.026.353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24,13%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Água retirada (ML)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11.590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13.266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14,46%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Água consumida (ML)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6.693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8.170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22,07%</w:t>
            </w:r>
          </w:p>
        </w:tc>
      </w:tr>
    </w:tbl>
    <w:p>
      <w:pPr>
        <w:spacing w:after="40"/>
      </w:pPr>
    </w:p>
    <w:p>
      <w:r>
        <w:t>GHG é a sigla inglesa para gases de efeito estufa; tCO₂e significa toneladas de dióxido de carbono equivalente. As tabelas 1A e 1B usam critérios distintos e não se somam. Na tabela 1A, o total usa Escopo 2 pelo método market-based. Não se adiciona o total location-based ao mesmo inventário.</w:t>
      </w:r>
    </w:p>
    <w:p>
      <w:r>
        <w:t>FY2024 foi reexpresso nesta edição e está fora da revisão limitada de 2026. Mudanças nos fatores, na captura de dados e no uso de certificados de energia influenciam a comparação. As variações descritivas não demonstram que toda a mudança seja física nem atribuem causalidade.</w:t>
      </w:r>
    </w:p>
    <w:p>
      <w:pPr>
        <w:pStyle w:val="Heading2"/>
      </w:pPr>
      <w:r>
        <w:t>Água e compromissos futuros</w:t>
      </w:r>
    </w:p>
    <w:p>
      <w:r>
        <w:t>ML significa milhão de litros: 1 ML equivale a 1.000 m³. A retirada de 13.266 ML corresponde a 13,266 milhões de m³. Cerca de 50% da retirada ocorreu em regiões de estresse hídrico. A reposição global reportada superior a 14,2 milhões de m³ não demonstra equilíbrio em cada bacia ou para cada comunidade.</w:t>
      </w:r>
    </w:p>
    <w:p>
      <w:r>
        <w:t>O relatório informa 45 milhões de toneladas de remoção de carbono contratadas em FY2025 para entregas futuras. Contratos não neutralizam automaticamente as emissões do exercício. O reúso ou reciclagem de 92% dos servidores e componentes desativados se refere ao fluxo descrito; não representa a circularidade de todos os produtos.</w:t>
      </w:r>
    </w:p>
    <w:p>
      <w:hyperlink r:id="rId11">
        <w:r>
          <w:rPr>
            <w:color w:val="225A46"/>
          </w:rPr>
          <w:t>Environmental Data Fact Sheet 2026 páginas 3 a 7 e parecer na página 23</w:t>
        </w:r>
      </w:hyperlink>
    </w:p>
    <w:p>
      <w:hyperlink r:id="rId12">
        <w:r>
          <w:rPr>
            <w:color w:val="225A46"/>
          </w:rPr>
          <w:t>Environmental Sustainability Report 2026</w:t>
        </w:r>
      </w:hyperlink>
    </w:p>
    <w:p>
      <w:r>
        <w:br w:type="page"/>
      </w:r>
    </w:p>
    <w:p>
      <w:pPr>
        <w:pStyle w:val="Heading1"/>
      </w:pPr>
      <w:r>
        <w:t>Pessoas doações e execução de programas</w:t>
      </w:r>
    </w:p>
    <w:p>
      <w:pPr>
        <w:pStyle w:val="Heading2"/>
      </w:pPr>
      <w:r>
        <w:t>Trabalhadores</w:t>
      </w:r>
    </w:p>
    <w:p>
      <w:r>
        <w:t>O relatório anual informa aproximadamente 228 mil empregados de tempo integral em 30/06/2025. O número é uma posição de encerramento e não revela empregos líquidos criados, satisfação, promoção ou qualidade das condições. A nota 17 informa US$ 1,8 bilhão em benefícios previdenciários patronais no FY2025, reconhecidos como despesa. O valor já afeta o lucro e não deve ser contado novamente como destinação adicional.</w:t>
      </w:r>
    </w:p>
    <w:p>
      <w:r>
        <w:t>A oferta de aprendizagem contínua é descrita, mas o custo e as horas internas de FY2025 não foram identificados nesta coleta. Permanecem necessários indicadores de progressão, retenção, participação, remuneração e satisfação, com metodologia e proteção de dados pessoais.</w:t>
      </w:r>
    </w:p>
    <w:p>
      <w:pPr>
        <w:pStyle w:val="Heading2"/>
      </w:pPr>
      <w:r>
        <w:t>Doações e anúncios com perímetros diferentes</w:t>
      </w:r>
    </w:p>
    <w:p>
      <w:r>
        <w:t>O Annual Report e o Impact Summary 2025 apresentam US$ 263 milhões de doações de empregados com contrapartida empresarial. A página de employee engagement apresenta US$ 255,6 milhões em 2025. O recorte temporal e o perímetro não foram conciliados: não somar os valores nem atribuir o total à empresa. O valor isolado da contrapartida e o benefício fiscal efetivo continuam desconhecidos.</w:t>
      </w:r>
    </w:p>
    <w:p>
      <w:r>
        <w:t>Elevate anunciou mais de US$ 4 bilhões em dinheiro e tecnologia de IA e nuvem para cinco anos, em 09/07/2025, após o encerramento do FY2025. O compromisso e a meta de credenciais não equivalem a desembolso FY2025 ou empregos gerados. Tecnologia doada, desconto, preço de lista e custo corporativo exigem campos distintos.</w:t>
      </w:r>
    </w:p>
    <w:p>
      <w:pPr>
        <w:pStyle w:val="Heading2"/>
      </w:pPr>
      <w:r>
        <w:t>Programa com execução corroborada</w:t>
      </w:r>
    </w:p>
    <w:p>
      <w:r>
        <w:t>O Gateway Technical College, no relatório acadêmico 2024–2025, página 9, confirma formação de educadores em 2024, certificado IT–Microsoft Data Center de dois semestres e quatro disciplinas, e apoio financeiro da Microsoft a estudantes. O parceiro fornece evidência de execução, sem quantificar neste registro o valor, os concluintes ou empregos atribuíveis. A instituição executora não é auditor independente.</w:t>
      </w:r>
    </w:p>
    <w:p>
      <w:pPr>
        <w:pStyle w:val="Heading2"/>
      </w:pPr>
      <w:r>
        <w:t>Conclusão de impacto</w:t>
      </w:r>
    </w:p>
    <w:p>
      <w:r>
        <w:t>Há ações e indicadores documentados. Ainda não há total FY2025 conciliado de contribuição corporativa em caixa, tecnologia e contrapartida. Benefícios fiscais, repasses de terceiros e devoluções não podem ser preenchidos por estimativa. O total próprio líquido permanece não determinado.</w:t>
      </w:r>
    </w:p>
    <w:p>
      <w:hyperlink r:id="rId13">
        <w:r>
          <w:rPr>
            <w:color w:val="225A46"/>
          </w:rPr>
          <w:t>Impact Summary 2025</w:t>
        </w:r>
      </w:hyperlink>
    </w:p>
    <w:p>
      <w:hyperlink r:id="rId14">
        <w:r>
          <w:rPr>
            <w:color w:val="225A46"/>
          </w:rPr>
          <w:t>Anúncio Elevate</w:t>
        </w:r>
      </w:hyperlink>
    </w:p>
    <w:p>
      <w:hyperlink r:id="rId15">
        <w:r>
          <w:rPr>
            <w:color w:val="225A46"/>
          </w:rPr>
          <w:t>Employee engagement</w:t>
        </w:r>
      </w:hyperlink>
    </w:p>
    <w:p>
      <w:hyperlink r:id="rId16">
        <w:r>
          <w:rPr>
            <w:color w:val="225A46"/>
          </w:rPr>
          <w:t>Relatório Gateway 2024–2025</w:t>
        </w:r>
      </w:hyperlink>
    </w:p>
    <w:p>
      <w:r>
        <w:br w:type="page"/>
      </w:r>
    </w:p>
    <w:p>
      <w:pPr>
        <w:pStyle w:val="Heading1"/>
      </w:pPr>
      <w:r>
        <w:t>Proposta de destinação e solicitação documental</w:t>
      </w:r>
    </w:p>
    <w:p>
      <w:r>
        <w:t>A regra autoral 30/30/30/10 é uma hipótese normativa. O lucro líquido FY2025 de US$ 101.832 milhões produziria as referências abaixo. A tabela não constitui obrigação legal, dívida, valor já executado nem projeção de impacto.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1701"/>
        <w:gridCol w:w="2268"/>
      </w:tblGrid>
      <w:tr>
        <w:trPr>
          <w:tblHeader/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Destino proposto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Proporção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USD milhões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Produto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30%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30.549,6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Pessoas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30%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30.549,6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Social ambiente e humanitário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30%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30.549,6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Reserva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10%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10.183,2</w:t>
            </w:r>
          </w:p>
        </w:tc>
      </w:tr>
    </w:tbl>
    <w:p>
      <w:pPr>
        <w:spacing w:after="40"/>
      </w:pPr>
    </w:p>
    <w:p>
      <w:r>
        <w:t>Na base alternativa de três anos, o lucro soma US$ 262.329 milhões: cada parcela de 30% seria 78.698,7 e a de 10%, 26.232,9. Essa alternativa substitui a base anual. Somar as janelas duplicaria lucros. Nenhum aporte elegível foi creditado; aderência e saldo a contribuir permanecem desconhecidos, não zero.</w:t>
      </w:r>
    </w:p>
    <w:p>
      <w:pPr>
        <w:pStyle w:val="Heading2"/>
      </w:pPr>
      <w:r>
        <w:t>Minuta de solicitação à Microsoft</w:t>
      </w:r>
    </w:p>
    <w:p>
      <w:r>
        <w:t>À equipe de Relações com Investidores, Sustentabilidade e Pessoas da Microsoft,</w:t>
      </w:r>
    </w:p>
    <w:p>
      <w:r>
        <w:t>O projeto ÍNDOLE 360 reúne informações públicas para compreender a relação entre resultados econômicos, trabalho e impacto. Reconhecemos as ações documentadas e desejamos corrigir eventuais lacunas com a colaboração da empresa. Solicitamos, quando publicável, informações relativas ao exercício encerrado em 30/06/2025:</w:t>
      </w:r>
    </w:p>
    <w:p>
      <w:pPr>
        <w:pStyle w:val="ListBullet"/>
      </w:pPr>
      <w:r>
        <w:t>Relação de aportes por projeto e beneficiário final, entidade pagadora, data, moeda, valor executado, comprovante e identificador único.</w:t>
      </w:r>
    </w:p>
    <w:p>
      <w:pPr>
        <w:pStyle w:val="ListBullet"/>
      </w:pPr>
      <w:r>
        <w:t>Separação entre caixa corporativo, doações de empregados, contrapartidas, recursos de terceiros, produtos e descontos; critério de mensuração, benefício fiscal efetivo e devoluções.</w:t>
      </w:r>
    </w:p>
    <w:p>
      <w:pPr>
        <w:pStyle w:val="ListBullet"/>
      </w:pPr>
      <w:r>
        <w:t>Conciliação com as contas financeiras, tratamento como despesa ou outra rubrica, compromissos ainda não executados e prevenção de duplicidades entre projetos e empresas do grupo.</w:t>
      </w:r>
    </w:p>
    <w:p>
      <w:pPr>
        <w:pStyle w:val="ListBullet"/>
      </w:pPr>
      <w:r>
        <w:t>Indicadores de trabalhadores e resultados dos programas, com linha de base, métodos, cobertura, limitações, efeitos adversos e escopo de verificação independente.</w:t>
      </w:r>
    </w:p>
    <w:p>
      <w:r>
        <w:t>Propomos divulgação de uma tabela anual padronizada e diálogo com trabalhadores e beneficiários. A ausência de um dado será registrada como não determinado. Agradecemos esclarecimentos e ofereceremos espaço para correção e resposta, sem atribuir intenção ou conduta além da evidência.</w:t>
      </w:r>
    </w:p>
    <w:p>
      <w:r>
        <w:t>Minuta preparada para revisão. Não enviada nesta atualização; correspondências anteriores não foram repetidas.</w:t>
      </w:r>
    </w:p>
    <w:p>
      <w:r>
        <w:br w:type="page"/>
      </w:r>
    </w:p>
    <w:p>
      <w:pPr>
        <w:pStyle w:val="Heading1"/>
      </w:pPr>
      <w:r>
        <w:t>Fontes arquivos e continuidade</w:t>
      </w:r>
    </w:p>
    <w:p>
      <w:r>
        <w:t>Consulta em 18/09/2026. Cada registro do JSON preserva a fonte e o localizador. O material foi examinado por frentes de contabilidade e impacto, com integração e checagem aritmética. Isso não constitui revisão externa independente. A revisão separada do GPT permanece ausente.</w:t>
      </w:r>
    </w:p>
    <w:p>
      <w:hyperlink r:id="rId10">
        <w:r>
          <w:rPr>
            <w:color w:val="225A46"/>
          </w:rPr>
          <w:t>Microsoft Annual Report 2025</w:t>
        </w:r>
      </w:hyperlink>
    </w:p>
    <w:p>
      <w:hyperlink r:id="rId17">
        <w:r>
          <w:rPr>
            <w:color w:val="225A46"/>
          </w:rPr>
          <w:t>Microsoft Form 10-K, fiscal year ended June 30, 2025</w:t>
        </w:r>
      </w:hyperlink>
    </w:p>
    <w:p>
      <w:hyperlink r:id="rId18">
        <w:r>
          <w:rPr>
            <w:color w:val="225A46"/>
          </w:rPr>
          <w:t>Microsoft Annual Report 2024</w:t>
        </w:r>
      </w:hyperlink>
    </w:p>
    <w:p>
      <w:hyperlink r:id="rId19">
        <w:r>
          <w:rPr>
            <w:color w:val="225A46"/>
          </w:rPr>
          <w:t>Microsoft Annual Report 2023</w:t>
        </w:r>
      </w:hyperlink>
    </w:p>
    <w:p>
      <w:hyperlink r:id="rId20">
        <w:r>
          <w:rPr>
            <w:color w:val="225A46"/>
          </w:rPr>
          <w:t>Microsoft FY2026 Q4 earnings release</w:t>
        </w:r>
      </w:hyperlink>
    </w:p>
    <w:p>
      <w:hyperlink r:id="rId11">
        <w:r>
          <w:rPr>
            <w:color w:val="225A46"/>
          </w:rPr>
          <w:t>Environmental Data Fact Sheet2026</w:t>
        </w:r>
      </w:hyperlink>
    </w:p>
    <w:p>
      <w:hyperlink r:id="rId12">
        <w:r>
          <w:rPr>
            <w:color w:val="225A46"/>
          </w:rPr>
          <w:t>Environmental Sustainability Report2026</w:t>
        </w:r>
      </w:hyperlink>
    </w:p>
    <w:p>
      <w:hyperlink r:id="rId13">
        <w:r>
          <w:rPr>
            <w:color w:val="225A46"/>
          </w:rPr>
          <w:t>Impact Summary2025</w:t>
        </w:r>
      </w:hyperlink>
    </w:p>
    <w:p>
      <w:hyperlink r:id="rId14">
        <w:r>
          <w:rPr>
            <w:color w:val="225A46"/>
          </w:rPr>
          <w:t>Elevate launch09/07/2025</w:t>
        </w:r>
      </w:hyperlink>
    </w:p>
    <w:p>
      <w:hyperlink r:id="rId15">
        <w:r>
          <w:rPr>
            <w:color w:val="225A46"/>
          </w:rPr>
          <w:t>Employee giving current page</w:t>
        </w:r>
      </w:hyperlink>
    </w:p>
    <w:p>
      <w:hyperlink r:id="rId16">
        <w:r>
          <w:rPr>
            <w:color w:val="225A46"/>
          </w:rPr>
          <w:t>Gateway Annual Report2024–2025</w:t>
        </w:r>
      </w:hyperlink>
    </w:p>
    <w:p>
      <w:hyperlink r:id="rId21">
        <w:r>
          <w:rPr>
            <w:color w:val="225A46"/>
          </w:rPr>
          <w:t>Reports Hub</w:t>
        </w:r>
      </w:hyperlink>
    </w:p>
    <w:p>
      <w:hyperlink r:id="rId22">
        <w:r>
          <w:rPr>
            <w:color w:val="225A46"/>
          </w:rPr>
          <w:t>Donations and Volunteerism2021</w:t>
        </w:r>
      </w:hyperlink>
    </w:p>
    <w:p>
      <w:pPr>
        <w:pStyle w:val="Heading2"/>
      </w:pPr>
      <w:r>
        <w:t>Arquivos para reproduzir</w:t>
      </w:r>
    </w:p>
    <w:p>
      <w:r>
        <w:t>Microsoft_Portfolio_FY2025.xlsx contém as fórmulas e fontes. portfolio-microsoft-finance.json contém a série e todas as parcelas; portfolio-microsoft-impact.json contém os 44 registros de impacto. O código do site inclui verificações para dados ausentes, diferença de sinal, duplicação de janelas e preservação de valores desconhecidos.</w:t>
      </w:r>
    </w:p>
    <w:p>
      <w:hyperlink r:id="rId23">
        <w:r>
          <w:rPr>
            <w:color w:val="225A46"/>
          </w:rPr>
          <w:t>Dossiê público Microsoft</w:t>
        </w:r>
      </w:hyperlink>
    </w:p>
    <w:p>
      <w:hyperlink r:id="rId24">
        <w:r>
          <w:rPr>
            <w:color w:val="225A46"/>
          </w:rPr>
          <w:t>Repositório e histórico</w:t>
        </w:r>
      </w:hyperlink>
    </w:p>
    <w:p>
      <w:pPr>
        <w:pStyle w:val="Heading2"/>
      </w:pPr>
      <w:r>
        <w:t>Projetos agendados</w:t>
      </w:r>
    </w:p>
    <w:p>
      <w:r>
        <w:t>19/09/2026 às 10h de Sobral: Índole dos Impostos, preservando o lembrete anterior. Em 21/09/2026 às 10h, um único lembrete reúne Índole da Saúde, Índole da Mídia, Índole da Educação, Índole Política e Inversão dos Impostos e do Formato de Cobrança. Agenda no fuso America/Fortaleza.</w:t>
      </w:r>
    </w:p>
    <w:p>
      <w:r>
        <w:t>A inversão dos impostos será estudada como hipótese de desenho de política pública. O primeiro recorte é mapear base, contribuinte, momento e meio de cobrança, comparando efeitos distributivos, arrecadação e manutenção dos serviços essenciais. Os lembretes não iniciam automaticamente publicação, pesquisa contínua ou correspondência.</w:t>
      </w:r>
    </w:p>
    <w:p>
      <w:pPr>
        <w:pStyle w:val="Heading2"/>
      </w:pPr>
      <w:r>
        <w:t>Próxima evidência necessária</w:t>
      </w:r>
    </w:p>
    <w:p>
      <w:r>
        <w:t>Conseguir o livro de aportes e uma resposta documental da empresa; depois submeter os dados a contador e avaliador de impacto. Só então recalcular contribuições elegíveis e examinar se há base suficiente para uma avaliação comparável de índole.</w:t>
      </w:r>
    </w:p>
    <w:sectPr w:rsidR="00FC693F" w:rsidRPr="0006063C" w:rsidSect="00034616">
      <w:footerReference w:type="default" r:id="rId9"/>
      <w:pgSz w:w="12240" w:h="15840"/>
      <w:pgMar w:top="964" w:right="1020" w:bottom="1134" w:left="102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ÍNDOLE 360  |  v2.2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microsoft.com/investor/reports/ar25/" TargetMode="External"/><Relationship Id="rId11" Type="http://schemas.openxmlformats.org/officeDocument/2006/relationships/hyperlink" Target="https://cdn-dynmedia-1.microsoft.com/is/content/microsoftcorp/microsoft/msc/documents/presentations/CSR/2026-Microsoft-Environmental-Data-Fact-Sheet-PDF.pdf" TargetMode="External"/><Relationship Id="rId12" Type="http://schemas.openxmlformats.org/officeDocument/2006/relationships/hyperlink" Target="https://cdn-dynmedia-1.microsoft.com/is/content/microsoftcorp/microsoft/msc/documents/presentations/CSR/2026-Microsoft-Environmental-Sustainability-Report-PDF.pdf" TargetMode="External"/><Relationship Id="rId13" Type="http://schemas.openxmlformats.org/officeDocument/2006/relationships/hyperlink" Target="https://cdn-dynmedia-1.microsoft.com/is/content/microsoftcorp/microsoft/msc/documents/presentations/CSR/Impact-Summary-Report-2025.pdf" TargetMode="External"/><Relationship Id="rId14" Type="http://schemas.openxmlformats.org/officeDocument/2006/relationships/hyperlink" Target="https://blogs.microsoft.com/on-the-issues/2025/07/09/elevate/" TargetMode="External"/><Relationship Id="rId15" Type="http://schemas.openxmlformats.org/officeDocument/2006/relationships/hyperlink" Target="https://www.microsoft.com/en-us/corporate-responsibility/philanthropies/employee-engagement" TargetMode="External"/><Relationship Id="rId16" Type="http://schemas.openxmlformats.org/officeDocument/2006/relationships/hyperlink" Target="https://www.gtc.edu/documents/gateway-annual-report-2024-2025" TargetMode="External"/><Relationship Id="rId17" Type="http://schemas.openxmlformats.org/officeDocument/2006/relationships/hyperlink" Target="https://www.sec.gov/Archives/edgar/data/789019/000095017025100235/msft-20250630.htm" TargetMode="External"/><Relationship Id="rId18" Type="http://schemas.openxmlformats.org/officeDocument/2006/relationships/hyperlink" Target="https://www.microsoft.com/investor/reports/ar24/" TargetMode="External"/><Relationship Id="rId19" Type="http://schemas.openxmlformats.org/officeDocument/2006/relationships/hyperlink" Target="https://www.microsoft.com/investor/reports/ar23/" TargetMode="External"/><Relationship Id="rId20" Type="http://schemas.openxmlformats.org/officeDocument/2006/relationships/hyperlink" Target="https://www.microsoft.com/en-us/investor/earnings/fy-2026-q4/press-release-webcast" TargetMode="External"/><Relationship Id="rId21" Type="http://schemas.openxmlformats.org/officeDocument/2006/relationships/hyperlink" Target="https://www.microsoft.com/en-us/corporate-responsibility/reports-hub" TargetMode="External"/><Relationship Id="rId22" Type="http://schemas.openxmlformats.org/officeDocument/2006/relationships/hyperlink" Target="https://cdn-dynmedia-1.microsoft.com/is/content/microsoftcorp/microsoft/msc/documents/presentations/CSR/Data-Factsheet-Donations-and-Volunteerism-2021.pdf" TargetMode="External"/><Relationship Id="rId23" Type="http://schemas.openxmlformats.org/officeDocument/2006/relationships/hyperlink" Target="https://aldenirfilho.github.io/INDOLE-360/portfolio-microsoft.html" TargetMode="External"/><Relationship Id="rId24" Type="http://schemas.openxmlformats.org/officeDocument/2006/relationships/hyperlink" Target="https://github.com/aldenirfilho/INDOLE-3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Portfólio empresarial Microsoft</dc:title>
  <dc:subject/>
  <dc:creator>Aldenir Rocha de Oliveira Filho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