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Projeto Tempo de Viver 360X</w:t>
      </w:r>
    </w:p>
    <w:p>
      <w:pPr>
        <w:pStyle w:val="Subtitle"/>
      </w:pPr>
      <w:r>
        <w:t>Investimento de tempo e recursos em qualidade de vida</w:t>
      </w:r>
    </w:p>
    <w:p>
      <w:pPr>
        <w:spacing w:after="60"/>
      </w:pPr>
      <w:r>
        <w:rPr>
          <w:b w:val="0"/>
        </w:rPr>
        <w:t>Concepção de Aldenir Rocha de Oliveira Filho</w:t>
      </w:r>
    </w:p>
    <w:p>
      <w:pPr>
        <w:spacing w:after="240"/>
      </w:pPr>
      <w:r>
        <w:rPr>
          <w:b w:val="0"/>
          <w:sz w:val="20"/>
        </w:rPr>
        <w:t>18 de outubro de 2026  |  Versão 1</w:t>
      </w:r>
    </w:p>
    <w:p>
      <w:pPr>
        <w:spacing w:after="240"/>
      </w:pPr>
      <w:hyperlink r:id="rId9">
        <w:r>
          <w:rPr>
            <w:color w:val="185A7A"/>
            <w:u w:val="single"/>
          </w:rPr>
          <w:t>Consultar e atualizar o projeto no Notion</w:t>
        </w:r>
      </w:hyperlink>
    </w:p>
    <w:p>
      <w:r>
        <w:rPr>
          <w:b/>
        </w:rPr>
        <w:t>Proposta central:</w:t>
      </w:r>
      <w:r>
        <w:rPr>
          <w:b w:val="0"/>
        </w:rPr>
        <w:t xml:space="preserve"> organizar dinheiro, trabalho, educação e tecnologia para ampliar tempo com autonomia, descanso, prazer e vínculos. Cada pessoa define o que considera uma vida boa e protege espaço para vivê-la no presente, mantendo condições de cuidado ao longo da vida.</w:t>
      </w:r>
    </w:p>
    <w:p>
      <w:r>
        <w:rPr>
          <w:b w:val="0"/>
        </w:rPr>
        <w:t xml:space="preserve">Este projeto integra o </w:t>
      </w:r>
      <w:r>
        <w:rPr>
          <w:b/>
        </w:rPr>
        <w:t>PROJETO 360X DE ALDENIR ROCHA DE OLIVEIRA FILHO</w:t>
      </w:r>
      <w:r>
        <w:rPr>
          <w:b w:val="0"/>
        </w:rPr>
        <w:t xml:space="preserve"> e desenvolve a frente anteriormente descrita como “Projeto investimento de Tempo de vida para curtir”. A linguagem criativa do Reaverso acompanha uma proposta prática, voluntária e avaliável.</w:t>
      </w:r>
    </w:p>
    <w:p>
      <w:r>
        <w:rPr>
          <w:b/>
        </w:rPr>
        <w:t>Entrega desta versão:</w:t>
      </w:r>
      <w:r>
        <w:rPr>
          <w:b w:val="0"/>
        </w:rPr>
        <w:t xml:space="preserve"> projeto conceitual, desenho de funcionamento, piloto de 30 dias, indicadores e prompt de continuidade. A implantação e seus resultados constituem etapas futuras.</w:t>
      </w:r>
    </w:p>
    <w:p>
      <w:pPr>
        <w:pStyle w:val="Heading1"/>
      </w:pPr>
      <w:r>
        <w:t>1 Propósito e compromisso</w:t>
      </w:r>
    </w:p>
    <w:p>
      <w:r>
        <w:rPr>
          <w:b w:val="0"/>
        </w:rPr>
        <w:t xml:space="preserve">A pergunta orientadora é: </w:t>
      </w:r>
      <w:r>
        <w:rPr>
          <w:b/>
        </w:rPr>
        <w:t>que vida os nossos recursos estão permitindo viver agora e preservar para depois?</w:t>
      </w:r>
      <w:r>
        <w:rPr>
          <w:b w:val="0"/>
        </w:rPr>
        <w:t xml:space="preserve"> A acumulação financeira passa a ter finalidade explícita: segurança, liberdade de escolha, experiências desejadas, cuidado e tempo disponível.</w:t>
      </w:r>
    </w:p>
    <w:p>
      <w:r>
        <w:rPr>
          <w:b w:val="0"/>
        </w:rPr>
        <w:t>A proposta reconhece o direito de descansar, brincar, conviver, aprender, criar, amar e experimentar atividades prazerosas. O valor de uma pessoa permanece inteiro em qualquer idade e condição de saúde. Por isso, o texto utiliza “tempo com autonomia e bem-estar”, evitando reduzir a existência à ideia de “vida útil” produtiva.</w:t>
      </w:r>
    </w:p>
    <w:p>
      <w:r>
        <w:rPr>
          <w:b w:val="0"/>
        </w:rPr>
        <w:t>A experiência de vida boa será definida pelo participante. Pode envolver família, natureza, videogames, espiritualidade, viagens, arte, amizade, intimidade, projetos criativos ou tranquilidade. Ninguém precisa demonstrar felicidade, manter uma rotina perfeita ou transformar interesses pessoais em profissão.</w:t>
      </w:r>
    </w:p>
    <w:p>
      <w:pPr>
        <w:pStyle w:val="ListBullet"/>
      </w:pPr>
      <w:r>
        <w:rPr>
          <w:b/>
        </w:rPr>
        <w:t>Missão:</w:t>
      </w:r>
      <w:r>
        <w:rPr>
          <w:b w:val="0"/>
        </w:rPr>
        <w:t xml:space="preserve"> converter recursos e ganhos de eficiência em oportunidades reais de viver com qualidade.</w:t>
      </w:r>
    </w:p>
    <w:p>
      <w:pPr>
        <w:pStyle w:val="ListBullet"/>
      </w:pPr>
      <w:r>
        <w:rPr>
          <w:b/>
        </w:rPr>
        <w:t>Público inicial:</w:t>
      </w:r>
      <w:r>
        <w:rPr>
          <w:b w:val="0"/>
        </w:rPr>
        <w:t xml:space="preserve"> adultos interessados em reorganizar tempo, hábitos e prioridades; expansão institucional mediante pilotos próprios.</w:t>
      </w:r>
    </w:p>
    <w:p>
      <w:pPr>
        <w:pStyle w:val="ListBullet"/>
      </w:pPr>
      <w:r>
        <w:rPr>
          <w:b/>
        </w:rPr>
        <w:t>Princípios:</w:t>
      </w:r>
      <w:r>
        <w:rPr>
          <w:b w:val="0"/>
        </w:rPr>
        <w:t xml:space="preserve"> autonomia, consentimento, acessibilidade, proteção financeira, privacidade, dignidade e liberdade de recusar.</w:t>
      </w:r>
    </w:p>
    <w:p>
      <w:pPr>
        <w:pStyle w:val="ListBullet"/>
      </w:pPr>
      <w:r>
        <w:rPr>
          <w:b/>
        </w:rPr>
        <w:t>Resultado desejado:</w:t>
      </w:r>
      <w:r>
        <w:rPr>
          <w:b w:val="0"/>
        </w:rPr>
        <w:t xml:space="preserve"> a pessoa identifica o que valoriza, realiza experiências compatíveis com seus recursos e conserva escolhas sustentáveis.</w:t>
      </w:r>
    </w:p>
    <w:p>
      <w:pPr>
        <w:pStyle w:val="Heading1"/>
      </w:pPr>
      <w:r>
        <w:t>2 Fundamentos e limites da evidência</w:t>
      </w:r>
    </w:p>
    <w:p>
      <w:r>
        <w:rPr>
          <w:b/>
        </w:rPr>
        <w:t>A prioridade de viver bem é uma escolha de valores.</w:t>
      </w:r>
      <w:r>
        <w:rPr>
          <w:b w:val="0"/>
        </w:rPr>
        <w:t xml:space="preserve"> A literatura ajuda a desenhar e testar o projeto; ela não comprova que esta proposta, como conjunto, aumentará a expectativa de vida ou produzirá prosperidade automática.</w:t>
      </w:r>
    </w:p>
    <w:p>
      <w:pPr>
        <w:pStyle w:val="Heading2"/>
      </w:pPr>
      <w:r>
        <w:t>Tempo de trabalho e recuperação</w:t>
      </w:r>
    </w:p>
    <w:p>
      <w:r>
        <w:rPr>
          <w:b w:val="0"/>
        </w:rPr>
        <w:t>A análise OMS/OIT publicada em 2021 associou jornadas de 55 horas ou mais por semana, em comparação com 35 a 40 horas, a maior risco de AVC e de morte por cardiopatia isquêmica. Estimou aproximadamente 745 mil mortes atribuíveis a jornadas prolongadas em 2016. Trata-se de síntese de estudos observacionais e modelagem populacional, sem previsão individual. [1]</w:t>
      </w:r>
    </w:p>
    <w:p>
      <w:r>
        <w:rPr>
          <w:b w:val="0"/>
        </w:rPr>
        <w:t>A comparação com o cigarro pode funcionar como metáfora de uma atividade que ocupa espaço excessivo na vida. As evidências consultadas não sustentam equivalência médica entre investir na bolsa e fumar. No tabagismo, a nicotina mantém a dependência; a mistura tóxica do tabaco e da fumaça responde por graves danos pulmonares. [2]</w:t>
      </w:r>
    </w:p>
    <w:p>
      <w:pPr>
        <w:pStyle w:val="Heading2"/>
      </w:pPr>
      <w:r>
        <w:t>Dinheiro e bem estar</w:t>
      </w:r>
    </w:p>
    <w:p>
      <w:r>
        <w:rPr>
          <w:b w:val="0"/>
        </w:rPr>
        <w:t>O estudo Buying time promotes happiness, de 2017, reuniu levantamentos e um pequeno experimento indicando que gastar para economizar tempo pode melhorar o bem-estar. A parte experimental foi breve e incluiu 60 adultos; seus resultados não garantem que toda terceirização, compra ou automação compense. [3]</w:t>
      </w:r>
    </w:p>
    <w:p>
      <w:r>
        <w:rPr>
          <w:b w:val="0"/>
        </w:rPr>
        <w:t>A reanálise de Killingsworth, Kahneman e Mellers, publicada em 2023, encontrou relações diferentes entre renda e bem-estar em grupos distintos. Não estabeleceu um valor universal a partir do qual dinheiro adicional se torna inútil. Os dados eram observacionais e de adultos empregados nos Estados Unidos. [4]</w:t>
      </w:r>
    </w:p>
    <w:p>
      <w:r>
        <w:rPr>
          <w:b w:val="0"/>
        </w:rPr>
        <w:t>A CVM orienta manter objetivos para emergências e aposentadoria e também reconhece a importância de destinar recursos à qualidade de vida. A aplicação neste projeto é definir prioridades e limites pessoais, considerando renda, obrigações e necessidades futuras. [5, 6]</w:t>
      </w:r>
    </w:p>
    <w:p>
      <w:pPr>
        <w:pStyle w:val="Heading2"/>
      </w:pPr>
      <w:r>
        <w:t>Autonomia educação e vínculos</w:t>
      </w:r>
    </w:p>
    <w:p>
      <w:r>
        <w:rPr>
          <w:b w:val="0"/>
        </w:rPr>
        <w:t>Um ensaio organizacional de 2016 encontrou benefícios de uma intervenção que combinava maior controle do horário e apoio da chefia, com resultados dependentes do contexto da empresa. Um estudo de 2025 sobre redução de jornada sem corte salarial encontrou melhoras em bem-estar após seis meses em organizações participantes. São fundamentos para testar reorganizações; não demonstram que qualquer pessoa possa trabalhar qualquer quantidade de horas com resultados garantidos. [7, 8]</w:t>
      </w:r>
    </w:p>
    <w:p>
      <w:r>
        <w:rPr>
          <w:b w:val="0"/>
        </w:rPr>
        <w:t>Uma metanálise de 225 estudos de ensino superior em ciências, tecnologia, engenharia e matemática favoreceu aprendizagem ativa. A OMS também reconhece conexão social e educação integral em sexualidade como áreas relevantes para saúde e bem-estar. Isso orienta projetos com participação, informação e relações respeitosas, sujeitos a avaliação local. [9–12]</w:t>
      </w:r>
    </w:p>
    <w:p>
      <w:pPr>
        <w:pStyle w:val="Heading1"/>
      </w:pPr>
      <w:r>
        <w:t>3 Estrutura de funcionamento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1984"/>
        <w:gridCol w:w="3685"/>
        <w:gridCol w:w="3402"/>
      </w:tblGrid>
      <w:tr>
        <w:trPr>
          <w:cantSplit/>
          <w:tblHeader/>
        </w:trPr>
        <w:tc>
          <w:tcPr>
            <w:tcW w:type="dxa" w:w="1984"/>
            <w:vAlign w:val="center"/>
            <w:shd w:fill="23465E"/>
          </w:tcPr>
          <w:p>
            <w:pPr>
              <w:keepNext w:val="0"/>
              <w:widowControl/>
              <w:spacing w:line="259" w:lineRule="auto" w:after="0" w:before="0"/>
            </w:pPr>
            <w:r>
              <w:rPr>
                <w:b/>
                <w:color w:val="FFFFFF"/>
                <w:sz w:val="21"/>
              </w:rPr>
              <w:t>Módulo</w:t>
            </w:r>
          </w:p>
        </w:tc>
        <w:tc>
          <w:tcPr>
            <w:tcW w:type="dxa" w:w="3685"/>
            <w:vAlign w:val="center"/>
            <w:shd w:fill="23465E"/>
          </w:tcPr>
          <w:p>
            <w:pPr>
              <w:keepNext w:val="0"/>
              <w:widowControl/>
              <w:spacing w:line="259" w:lineRule="auto" w:after="0" w:before="0"/>
            </w:pPr>
            <w:r>
              <w:rPr>
                <w:b/>
                <w:color w:val="FFFFFF"/>
                <w:sz w:val="21"/>
              </w:rPr>
              <w:t>Função</w:t>
            </w:r>
          </w:p>
        </w:tc>
        <w:tc>
          <w:tcPr>
            <w:tcW w:type="dxa" w:w="3402"/>
            <w:vAlign w:val="center"/>
            <w:shd w:fill="23465E"/>
          </w:tcPr>
          <w:p>
            <w:pPr>
              <w:keepNext w:val="0"/>
              <w:widowControl/>
              <w:spacing w:line="259" w:lineRule="auto" w:after="0" w:before="0"/>
            </w:pPr>
            <w:r>
              <w:rPr>
                <w:b/>
                <w:color w:val="FFFFFF"/>
                <w:sz w:val="21"/>
              </w:rPr>
              <w:t>Entrega prática</w:t>
            </w:r>
          </w:p>
        </w:tc>
      </w:tr>
      <w:tr>
        <w:trPr>
          <w:cantSplit/>
        </w:trPr>
        <w:tc>
          <w:tcPr>
            <w:tcW w:type="dxa" w:w="1984"/>
            <w:vAlign w:val="center"/>
          </w:tcPr>
          <w:p>
            <w:pPr>
              <w:keepNext w:val="0"/>
              <w:widowControl/>
              <w:spacing w:line="259" w:lineRule="auto" w:after="0" w:before="0"/>
            </w:pPr>
            <w:r>
              <w:rPr>
                <w:b w:val="0"/>
                <w:sz w:val="21"/>
              </w:rPr>
              <w:t>Bússola do viver</w:t>
            </w:r>
          </w:p>
        </w:tc>
        <w:tc>
          <w:tcPr>
            <w:tcW w:type="dxa" w:w="3685"/>
            <w:vAlign w:val="center"/>
          </w:tcPr>
          <w:p>
            <w:pPr>
              <w:keepNext w:val="0"/>
              <w:widowControl/>
              <w:spacing w:line="259" w:lineRule="auto" w:after="0" w:before="0"/>
            </w:pPr>
            <w:r>
              <w:rPr>
                <w:b w:val="0"/>
                <w:sz w:val="21"/>
              </w:rPr>
              <w:t>Conhecer preferências, valores, curiosidades e limites.</w:t>
            </w:r>
          </w:p>
        </w:tc>
        <w:tc>
          <w:tcPr>
            <w:tcW w:type="dxa" w:w="3402"/>
            <w:vAlign w:val="center"/>
          </w:tcPr>
          <w:p>
            <w:pPr>
              <w:keepNext w:val="0"/>
              <w:widowControl/>
              <w:spacing w:line="259" w:lineRule="auto" w:after="0" w:before="0"/>
            </w:pPr>
            <w:r>
              <w:rPr>
                <w:b w:val="0"/>
                <w:sz w:val="21"/>
              </w:rPr>
              <w:t>Uma página com o que preservar, experimentar e reduzir.</w:t>
            </w:r>
          </w:p>
        </w:tc>
      </w:tr>
      <w:tr>
        <w:trPr>
          <w:cantSplit/>
        </w:trPr>
        <w:tc>
          <w:tcPr>
            <w:tcW w:type="dxa" w:w="1984"/>
            <w:vAlign w:val="center"/>
            <w:shd w:fill="F2F6F8"/>
          </w:tcPr>
          <w:p>
            <w:pPr>
              <w:keepNext w:val="0"/>
              <w:widowControl/>
              <w:spacing w:line="259" w:lineRule="auto" w:after="0" w:before="0"/>
            </w:pPr>
            <w:r>
              <w:rPr>
                <w:b w:val="0"/>
                <w:sz w:val="21"/>
              </w:rPr>
              <w:t>Capital e tempo</w:t>
            </w:r>
          </w:p>
        </w:tc>
        <w:tc>
          <w:tcPr>
            <w:tcW w:type="dxa" w:w="3685"/>
            <w:vAlign w:val="center"/>
            <w:shd w:fill="F2F6F8"/>
          </w:tcPr>
          <w:p>
            <w:pPr>
              <w:keepNext w:val="0"/>
              <w:widowControl/>
              <w:spacing w:line="259" w:lineRule="auto" w:after="0" w:before="0"/>
            </w:pPr>
            <w:r>
              <w:rPr>
                <w:b w:val="0"/>
                <w:sz w:val="21"/>
              </w:rPr>
              <w:t>Relacionar recursos, compromissos e experiências.</w:t>
            </w:r>
          </w:p>
        </w:tc>
        <w:tc>
          <w:tcPr>
            <w:tcW w:type="dxa" w:w="3402"/>
            <w:vAlign w:val="center"/>
            <w:shd w:fill="F2F6F8"/>
          </w:tcPr>
          <w:p>
            <w:pPr>
              <w:keepNext w:val="0"/>
              <w:widowControl/>
              <w:spacing w:line="259" w:lineRule="auto" w:after="0" w:before="0"/>
            </w:pPr>
            <w:r>
              <w:rPr>
                <w:b w:val="0"/>
                <w:sz w:val="21"/>
              </w:rPr>
              <w:t>Orçamento viável e períodos de tempo escolhido.</w:t>
            </w:r>
          </w:p>
        </w:tc>
      </w:tr>
      <w:tr>
        <w:trPr>
          <w:cantSplit/>
        </w:trPr>
        <w:tc>
          <w:tcPr>
            <w:tcW w:type="dxa" w:w="1984"/>
            <w:vAlign w:val="center"/>
          </w:tcPr>
          <w:p>
            <w:pPr>
              <w:keepNext w:val="0"/>
              <w:widowControl/>
              <w:spacing w:line="259" w:lineRule="auto" w:after="0" w:before="0"/>
            </w:pPr>
            <w:r>
              <w:rPr>
                <w:b w:val="0"/>
                <w:sz w:val="21"/>
              </w:rPr>
              <w:t>Trabalho e aprendizagem</w:t>
            </w:r>
          </w:p>
        </w:tc>
        <w:tc>
          <w:tcPr>
            <w:tcW w:type="dxa" w:w="3685"/>
            <w:vAlign w:val="center"/>
          </w:tcPr>
          <w:p>
            <w:pPr>
              <w:keepNext w:val="0"/>
              <w:widowControl/>
              <w:spacing w:line="259" w:lineRule="auto" w:after="0" w:before="0"/>
            </w:pPr>
            <w:r>
              <w:rPr>
                <w:b w:val="0"/>
                <w:sz w:val="21"/>
              </w:rPr>
              <w:t>Ampliar autonomia e usar interesses como ponto de partida.</w:t>
            </w:r>
          </w:p>
        </w:tc>
        <w:tc>
          <w:tcPr>
            <w:tcW w:type="dxa" w:w="3402"/>
            <w:vAlign w:val="center"/>
          </w:tcPr>
          <w:p>
            <w:pPr>
              <w:keepNext w:val="0"/>
              <w:widowControl/>
              <w:spacing w:line="259" w:lineRule="auto" w:after="0" w:before="0"/>
            </w:pPr>
            <w:r>
              <w:rPr>
                <w:b w:val="0"/>
                <w:sz w:val="21"/>
              </w:rPr>
              <w:t>Um ajuste negociável e uma experiência de aprendizagem.</w:t>
            </w:r>
          </w:p>
        </w:tc>
      </w:tr>
      <w:tr>
        <w:trPr>
          <w:cantSplit/>
        </w:trPr>
        <w:tc>
          <w:tcPr>
            <w:tcW w:type="dxa" w:w="1984"/>
            <w:vAlign w:val="center"/>
            <w:shd w:fill="F2F6F8"/>
          </w:tcPr>
          <w:p>
            <w:pPr>
              <w:keepNext w:val="0"/>
              <w:widowControl/>
              <w:spacing w:line="259" w:lineRule="auto" w:after="0" w:before="0"/>
            </w:pPr>
            <w:r>
              <w:rPr>
                <w:b w:val="0"/>
                <w:sz w:val="21"/>
              </w:rPr>
              <w:t>Viver e conviver</w:t>
            </w:r>
          </w:p>
        </w:tc>
        <w:tc>
          <w:tcPr>
            <w:tcW w:type="dxa" w:w="3685"/>
            <w:vAlign w:val="center"/>
            <w:shd w:fill="F2F6F8"/>
          </w:tcPr>
          <w:p>
            <w:pPr>
              <w:keepNext w:val="0"/>
              <w:widowControl/>
              <w:spacing w:line="259" w:lineRule="auto" w:after="0" w:before="0"/>
            </w:pPr>
            <w:r>
              <w:rPr>
                <w:b w:val="0"/>
                <w:sz w:val="21"/>
              </w:rPr>
              <w:t>Facilitar lazer, descanso, amizade, cultura e vínculos.</w:t>
            </w:r>
          </w:p>
        </w:tc>
        <w:tc>
          <w:tcPr>
            <w:tcW w:type="dxa" w:w="3402"/>
            <w:vAlign w:val="center"/>
            <w:shd w:fill="F2F6F8"/>
          </w:tcPr>
          <w:p>
            <w:pPr>
              <w:keepNext w:val="0"/>
              <w:widowControl/>
              <w:spacing w:line="259" w:lineRule="auto" w:after="0" w:before="0"/>
            </w:pPr>
            <w:r>
              <w:rPr>
                <w:b w:val="0"/>
                <w:sz w:val="21"/>
              </w:rPr>
              <w:t>Atividades voluntárias acessíveis e relações respeitosas.</w:t>
            </w:r>
          </w:p>
        </w:tc>
      </w:tr>
      <w:tr>
        <w:trPr>
          <w:cantSplit/>
        </w:trPr>
        <w:tc>
          <w:tcPr>
            <w:tcW w:type="dxa" w:w="1984"/>
            <w:vAlign w:val="center"/>
          </w:tcPr>
          <w:p>
            <w:pPr>
              <w:keepNext w:val="0"/>
              <w:widowControl/>
              <w:spacing w:line="259" w:lineRule="auto" w:after="0" w:before="0"/>
            </w:pPr>
            <w:r>
              <w:rPr>
                <w:b w:val="0"/>
                <w:sz w:val="21"/>
              </w:rPr>
              <w:t>IA e Reaverso</w:t>
            </w:r>
          </w:p>
        </w:tc>
        <w:tc>
          <w:tcPr>
            <w:tcW w:type="dxa" w:w="3685"/>
            <w:vAlign w:val="center"/>
          </w:tcPr>
          <w:p>
            <w:pPr>
              <w:keepNext w:val="0"/>
              <w:widowControl/>
              <w:spacing w:line="259" w:lineRule="auto" w:after="0" w:before="0"/>
            </w:pPr>
            <w:r>
              <w:rPr>
                <w:b w:val="0"/>
                <w:sz w:val="21"/>
              </w:rPr>
              <w:t>Reduzir esforço de organização e acrescentar imaginação.</w:t>
            </w:r>
          </w:p>
        </w:tc>
        <w:tc>
          <w:tcPr>
            <w:tcW w:type="dxa" w:w="3402"/>
            <w:vAlign w:val="center"/>
          </w:tcPr>
          <w:p>
            <w:pPr>
              <w:keepNext w:val="0"/>
              <w:widowControl/>
              <w:spacing w:line="259" w:lineRule="auto" w:after="0" w:before="0"/>
            </w:pPr>
            <w:r>
              <w:rPr>
                <w:b w:val="0"/>
                <w:sz w:val="21"/>
              </w:rPr>
              <w:t>Sugestões simples, agenda assistida e narrativas opcionais.</w:t>
            </w:r>
          </w:p>
        </w:tc>
      </w:tr>
    </w:tbl>
    <w:p>
      <w:pPr>
        <w:spacing w:after="20"/>
      </w:pPr>
    </w:p>
    <w:p>
      <w:r>
        <w:rPr>
          <w:b w:val="0"/>
        </w:rPr>
        <w:t>Os módulos pertencem a um único projeto. A pessoa começa por uma ação pequena, e as demais ideias ficam disponíveis para depois. O sistema deve exigir menos tempo de manutenção do que o tempo que ajuda a liberar.</w:t>
      </w:r>
    </w:p>
    <w:p>
      <w:pPr>
        <w:pStyle w:val="Heading2"/>
      </w:pPr>
      <w:r>
        <w:t>Bússola do viver</w:t>
      </w:r>
    </w:p>
    <w:p>
      <w:r>
        <w:rPr>
          <w:b w:val="0"/>
        </w:rPr>
        <w:t>O participante responde, em linguagem livre, a cinco perguntas: o que me dá prazer; o que me faz bem depois; de quem ou de que sinto falta; o que faço principalmente por obrigação; e o que gostaria de experimentar sem grande compromisso.</w:t>
      </w:r>
    </w:p>
    <w:p>
      <w:r>
        <w:rPr>
          <w:b w:val="0"/>
        </w:rPr>
        <w:t>As respostas formam hipóteses de preferência. A pessoa pode mudar de ideia, gostar de uma atividade sem ser boa nela ou ter habilidade sem querer transformá-la em trabalho. A IA utiliza preferências declaradas e sugestões corrigidas pelo usuário, sem apresentar um diagnóstico de personalidade ou um destino profissional.</w:t>
      </w:r>
    </w:p>
    <w:p>
      <w:r>
        <w:rPr>
          <w:b/>
        </w:rPr>
        <w:t>Acessibilidade:</w:t>
      </w:r>
      <w:r>
        <w:rPr>
          <w:b w:val="0"/>
        </w:rPr>
        <w:t xml:space="preserve"> entrada por voz ou texto, instruções curtas, uma próxima ação visível, modo de baixa energia, possibilidade de retomar sem recomeçar e poucas notificações. A pessoa escolhe se deseja usar números, registros ou apenas uma conversa breve.</w:t>
      </w:r>
    </w:p>
    <w:p>
      <w:pPr>
        <w:pStyle w:val="Heading1"/>
      </w:pPr>
      <w:r>
        <w:t>4 Dinheiro colocado a serviço da vida</w:t>
      </w:r>
    </w:p>
    <w:p>
      <w:r>
        <w:rPr>
          <w:b w:val="0"/>
        </w:rPr>
        <w:t>A mudança financeira começa pela finalidade de cada recurso. Uma reserva que protege moradia, alimentação e cuidado já sustenta qualidade de vida. Um gasto de lazer também pode ter valor, desde que caiba na realidade da pessoa. A reserva e o futuro precisam de planejamento compatível com cada caso. [5, 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1984"/>
        <w:gridCol w:w="3685"/>
        <w:gridCol w:w="3402"/>
      </w:tblGrid>
      <w:tr>
        <w:trPr>
          <w:cantSplit/>
          <w:tblHeader/>
        </w:trPr>
        <w:tc>
          <w:tcPr>
            <w:tcW w:type="dxa" w:w="1984"/>
            <w:vAlign w:val="center"/>
            <w:shd w:fill="23465E"/>
          </w:tcPr>
          <w:p>
            <w:pPr>
              <w:keepNext w:val="0"/>
              <w:widowControl/>
              <w:spacing w:line="259" w:lineRule="auto" w:after="0" w:before="0"/>
            </w:pPr>
            <w:r>
              <w:rPr>
                <w:b/>
                <w:color w:val="FFFFFF"/>
                <w:sz w:val="21"/>
              </w:rPr>
              <w:t>Destino</w:t>
            </w:r>
          </w:p>
        </w:tc>
        <w:tc>
          <w:tcPr>
            <w:tcW w:type="dxa" w:w="3685"/>
            <w:vAlign w:val="center"/>
            <w:shd w:fill="23465E"/>
          </w:tcPr>
          <w:p>
            <w:pPr>
              <w:keepNext w:val="0"/>
              <w:widowControl/>
              <w:spacing w:line="259" w:lineRule="auto" w:after="0" w:before="0"/>
            </w:pPr>
            <w:r>
              <w:rPr>
                <w:b/>
                <w:color w:val="FFFFFF"/>
                <w:sz w:val="21"/>
              </w:rPr>
              <w:t>Pergunta orientadora</w:t>
            </w:r>
          </w:p>
        </w:tc>
        <w:tc>
          <w:tcPr>
            <w:tcW w:type="dxa" w:w="3402"/>
            <w:vAlign w:val="center"/>
            <w:shd w:fill="23465E"/>
          </w:tcPr>
          <w:p>
            <w:pPr>
              <w:keepNext w:val="0"/>
              <w:widowControl/>
              <w:spacing w:line="259" w:lineRule="auto" w:after="0" w:before="0"/>
            </w:pPr>
            <w:r>
              <w:rPr>
                <w:b/>
                <w:color w:val="FFFFFF"/>
                <w:sz w:val="21"/>
              </w:rPr>
              <w:t>Aplicação proposta</w:t>
            </w:r>
          </w:p>
        </w:tc>
      </w:tr>
      <w:tr>
        <w:trPr>
          <w:cantSplit/>
        </w:trPr>
        <w:tc>
          <w:tcPr>
            <w:tcW w:type="dxa" w:w="1984"/>
            <w:vAlign w:val="center"/>
          </w:tcPr>
          <w:p>
            <w:pPr>
              <w:keepNext w:val="0"/>
              <w:widowControl/>
              <w:spacing w:line="259" w:lineRule="auto" w:after="0" w:before="0"/>
            </w:pPr>
            <w:r>
              <w:rPr>
                <w:b w:val="0"/>
                <w:sz w:val="21"/>
              </w:rPr>
              <w:t>Vida cotidiana</w:t>
            </w:r>
          </w:p>
        </w:tc>
        <w:tc>
          <w:tcPr>
            <w:tcW w:type="dxa" w:w="3685"/>
            <w:vAlign w:val="center"/>
          </w:tcPr>
          <w:p>
            <w:pPr>
              <w:keepNext w:val="0"/>
              <w:widowControl/>
              <w:spacing w:line="259" w:lineRule="auto" w:after="0" w:before="0"/>
            </w:pPr>
            <w:r>
              <w:rPr>
                <w:b w:val="0"/>
                <w:sz w:val="21"/>
              </w:rPr>
              <w:t>O que sustenta minha vida e meus compromissos?</w:t>
            </w:r>
          </w:p>
        </w:tc>
        <w:tc>
          <w:tcPr>
            <w:tcW w:type="dxa" w:w="3402"/>
            <w:vAlign w:val="center"/>
          </w:tcPr>
          <w:p>
            <w:pPr>
              <w:keepNext w:val="0"/>
              <w:widowControl/>
              <w:spacing w:line="259" w:lineRule="auto" w:after="0" w:before="0"/>
            </w:pPr>
            <w:r>
              <w:rPr>
                <w:b w:val="0"/>
                <w:sz w:val="21"/>
              </w:rPr>
              <w:t>Custos essenciais, cuidado e obrigações previstas.</w:t>
            </w:r>
          </w:p>
        </w:tc>
      </w:tr>
      <w:tr>
        <w:trPr>
          <w:cantSplit/>
        </w:trPr>
        <w:tc>
          <w:tcPr>
            <w:tcW w:type="dxa" w:w="1984"/>
            <w:vAlign w:val="center"/>
            <w:shd w:fill="F2F6F8"/>
          </w:tcPr>
          <w:p>
            <w:pPr>
              <w:keepNext w:val="0"/>
              <w:widowControl/>
              <w:spacing w:line="259" w:lineRule="auto" w:after="0" w:before="0"/>
            </w:pPr>
            <w:r>
              <w:rPr>
                <w:b w:val="0"/>
                <w:sz w:val="21"/>
              </w:rPr>
              <w:t>Proteção futura</w:t>
            </w:r>
          </w:p>
        </w:tc>
        <w:tc>
          <w:tcPr>
            <w:tcW w:type="dxa" w:w="3685"/>
            <w:vAlign w:val="center"/>
            <w:shd w:fill="F2F6F8"/>
          </w:tcPr>
          <w:p>
            <w:pPr>
              <w:keepNext w:val="0"/>
              <w:widowControl/>
              <w:spacing w:line="259" w:lineRule="auto" w:after="0" w:before="0"/>
            </w:pPr>
            <w:r>
              <w:rPr>
                <w:b w:val="0"/>
                <w:sz w:val="21"/>
              </w:rPr>
              <w:t>Como manterei escolhas diante de imprevistos e do envelhecimento?</w:t>
            </w:r>
          </w:p>
        </w:tc>
        <w:tc>
          <w:tcPr>
            <w:tcW w:type="dxa" w:w="3402"/>
            <w:vAlign w:val="center"/>
            <w:shd w:fill="F2F6F8"/>
          </w:tcPr>
          <w:p>
            <w:pPr>
              <w:keepNext w:val="0"/>
              <w:widowControl/>
              <w:spacing w:line="259" w:lineRule="auto" w:after="0" w:before="0"/>
            </w:pPr>
            <w:r>
              <w:rPr>
                <w:b w:val="0"/>
                <w:sz w:val="21"/>
              </w:rPr>
              <w:t>Reserva e planejamento de longo prazo.</w:t>
            </w:r>
          </w:p>
        </w:tc>
      </w:tr>
      <w:tr>
        <w:trPr>
          <w:cantSplit/>
        </w:trPr>
        <w:tc>
          <w:tcPr>
            <w:tcW w:type="dxa" w:w="1984"/>
            <w:vAlign w:val="center"/>
          </w:tcPr>
          <w:p>
            <w:pPr>
              <w:keepNext w:val="0"/>
              <w:widowControl/>
              <w:spacing w:line="259" w:lineRule="auto" w:after="0" w:before="0"/>
            </w:pPr>
            <w:r>
              <w:rPr>
                <w:b w:val="0"/>
                <w:sz w:val="21"/>
              </w:rPr>
              <w:t>Experiências presentes</w:t>
            </w:r>
          </w:p>
        </w:tc>
        <w:tc>
          <w:tcPr>
            <w:tcW w:type="dxa" w:w="3685"/>
            <w:vAlign w:val="center"/>
          </w:tcPr>
          <w:p>
            <w:pPr>
              <w:keepNext w:val="0"/>
              <w:widowControl/>
              <w:spacing w:line="259" w:lineRule="auto" w:after="0" w:before="0"/>
            </w:pPr>
            <w:r>
              <w:rPr>
                <w:b w:val="0"/>
                <w:sz w:val="21"/>
              </w:rPr>
              <w:t>O que quero viver e posso realizar agora?</w:t>
            </w:r>
          </w:p>
        </w:tc>
        <w:tc>
          <w:tcPr>
            <w:tcW w:type="dxa" w:w="3402"/>
            <w:vAlign w:val="center"/>
          </w:tcPr>
          <w:p>
            <w:pPr>
              <w:keepNext w:val="0"/>
              <w:widowControl/>
              <w:spacing w:line="259" w:lineRule="auto" w:after="0" w:before="0"/>
            </w:pPr>
            <w:r>
              <w:rPr>
                <w:b w:val="0"/>
                <w:sz w:val="21"/>
              </w:rPr>
              <w:t>Lazer, convivência e projetos dentro de um limite definido.</w:t>
            </w:r>
          </w:p>
        </w:tc>
      </w:tr>
      <w:tr>
        <w:trPr>
          <w:cantSplit/>
        </w:trPr>
        <w:tc>
          <w:tcPr>
            <w:tcW w:type="dxa" w:w="1984"/>
            <w:vAlign w:val="center"/>
            <w:shd w:fill="F2F6F8"/>
          </w:tcPr>
          <w:p>
            <w:pPr>
              <w:keepNext w:val="0"/>
              <w:widowControl/>
              <w:spacing w:line="259" w:lineRule="auto" w:after="0" w:before="0"/>
            </w:pPr>
            <w:r>
              <w:rPr>
                <w:b w:val="0"/>
                <w:sz w:val="21"/>
              </w:rPr>
              <w:t>Tempo disponível</w:t>
            </w:r>
          </w:p>
        </w:tc>
        <w:tc>
          <w:tcPr>
            <w:tcW w:type="dxa" w:w="3685"/>
            <w:vAlign w:val="center"/>
            <w:shd w:fill="F2F6F8"/>
          </w:tcPr>
          <w:p>
            <w:pPr>
              <w:keepNext w:val="0"/>
              <w:widowControl/>
              <w:spacing w:line="259" w:lineRule="auto" w:after="0" w:before="0"/>
            </w:pPr>
            <w:r>
              <w:rPr>
                <w:b w:val="0"/>
                <w:sz w:val="21"/>
              </w:rPr>
              <w:t>Que tarefa posso simplificar de forma justa?</w:t>
            </w:r>
          </w:p>
        </w:tc>
        <w:tc>
          <w:tcPr>
            <w:tcW w:type="dxa" w:w="3402"/>
            <w:vAlign w:val="center"/>
            <w:shd w:fill="F2F6F8"/>
          </w:tcPr>
          <w:p>
            <w:pPr>
              <w:keepNext w:val="0"/>
              <w:widowControl/>
              <w:spacing w:line="259" w:lineRule="auto" w:after="0" w:before="0"/>
            </w:pPr>
            <w:r>
              <w:rPr>
                <w:b w:val="0"/>
                <w:sz w:val="21"/>
              </w:rPr>
              <w:t>Automação útil ou serviço que devolva tempo.</w:t>
            </w:r>
          </w:p>
        </w:tc>
      </w:tr>
      <w:tr>
        <w:trPr>
          <w:cantSplit/>
        </w:trPr>
        <w:tc>
          <w:tcPr>
            <w:tcW w:type="dxa" w:w="1984"/>
            <w:vAlign w:val="center"/>
          </w:tcPr>
          <w:p>
            <w:pPr>
              <w:keepNext w:val="0"/>
              <w:widowControl/>
              <w:spacing w:line="259" w:lineRule="auto" w:after="0" w:before="0"/>
            </w:pPr>
            <w:r>
              <w:rPr>
                <w:b w:val="0"/>
                <w:sz w:val="21"/>
              </w:rPr>
              <w:t>Propósito e contribuição</w:t>
            </w:r>
          </w:p>
        </w:tc>
        <w:tc>
          <w:tcPr>
            <w:tcW w:type="dxa" w:w="3685"/>
            <w:vAlign w:val="center"/>
          </w:tcPr>
          <w:p>
            <w:pPr>
              <w:keepNext w:val="0"/>
              <w:widowControl/>
              <w:spacing w:line="259" w:lineRule="auto" w:after="0" w:before="0"/>
            </w:pPr>
            <w:r>
              <w:rPr>
                <w:b w:val="0"/>
                <w:sz w:val="21"/>
              </w:rPr>
              <w:t>Que causa desejo apoiar sem comprometer necessidades?</w:t>
            </w:r>
          </w:p>
        </w:tc>
        <w:tc>
          <w:tcPr>
            <w:tcW w:type="dxa" w:w="3402"/>
            <w:vAlign w:val="center"/>
          </w:tcPr>
          <w:p>
            <w:pPr>
              <w:keepNext w:val="0"/>
              <w:widowControl/>
              <w:spacing w:line="259" w:lineRule="auto" w:after="0" w:before="0"/>
            </w:pPr>
            <w:r>
              <w:rPr>
                <w:b w:val="0"/>
                <w:sz w:val="21"/>
              </w:rPr>
              <w:t>Ajuda, criação e participação voluntária.</w:t>
            </w:r>
          </w:p>
        </w:tc>
      </w:tr>
    </w:tbl>
    <w:p>
      <w:pPr>
        <w:spacing w:after="20"/>
      </w:pPr>
    </w:p>
    <w:p>
      <w:r>
        <w:rPr>
          <w:b/>
        </w:rPr>
        <w:t>Regra de decisão proposta:</w:t>
      </w:r>
      <w:r>
        <w:rPr>
          <w:b w:val="0"/>
        </w:rPr>
        <w:t xml:space="preserve"> antes de uma nova compra ou compromisso, verificar se ele cabe no orçamento, se existe tempo para aproveitá-lo e se corresponde a uma preferência própria. Para decisões de maior valor, reservar um intervalo de reflexão e comparar com o que já está disponível.</w:t>
      </w:r>
    </w:p>
    <w:p>
      <w:r>
        <w:rPr>
          <w:b w:val="0"/>
        </w:rPr>
        <w:t>O projeto não define percentuais universais de gasto ou investimento. A margem financeira para experiências depende de renda disponível, obrigações, dívidas e proteção necessária. Quando a margem for zero, a frente de qualidade de vida continua por atividades gratuitas, descanso e organização do tempo.</w:t>
      </w:r>
    </w:p>
    <w:p>
      <w:r>
        <w:rPr>
          <w:b/>
        </w:rPr>
        <w:t>Exemplo hipotético:</w:t>
      </w:r>
      <w:r>
        <w:rPr>
          <w:b w:val="0"/>
        </w:rPr>
        <w:t xml:space="preserve"> uma compra de R$ 600 corresponde a 12 horas de renda líquida de trabalho se essa renda for R$ 50 por hora. O cálculo ajuda a perceber o esforço financeiro; ele não mede o valor da pessoa nem deve ser aplicado a cada minuto de descanso. Juros, despesas associadas e manutenção podem alterar o custo total.</w:t>
      </w:r>
    </w:p>
    <w:p>
      <w:r>
        <w:rPr>
          <w:b w:val="0"/>
        </w:rPr>
        <w:t>O planejamento também considera que não sabemos quanto tempo viveremos nem quais cuidados serão necessários. Uma pessoa pode usufruir recursos agora e manter proteção para uma vida longa, inclusive em períodos de menor capacidade de trabalho.</w:t>
      </w:r>
    </w:p>
    <w:p>
      <w:pPr>
        <w:pStyle w:val="Heading1"/>
      </w:pPr>
      <w:r>
        <w:t>5 Trabalho e educação com autonomia</w:t>
      </w:r>
    </w:p>
    <w:p>
      <w:pPr>
        <w:pStyle w:val="Heading2"/>
      </w:pPr>
      <w:r>
        <w:t>Trabalho</w:t>
      </w:r>
    </w:p>
    <w:p>
      <w:r>
        <w:rPr>
          <w:b w:val="0"/>
        </w:rPr>
        <w:t>A liberdade proposta inclui participar de decisões sobre tarefas e horários, receber remuneração justa, ter condições de desenvolvimento e preservar tempo de recuperação. Interesse e habilidade orientam possibilidades; qualidade, treinamento e responsabilidades continuam necessários.</w:t>
      </w:r>
    </w:p>
    <w:p>
      <w:pPr>
        <w:pStyle w:val="ListBullet"/>
      </w:pPr>
      <w:r>
        <w:rPr>
          <w:b/>
        </w:rPr>
        <w:t>Mapear atividades:</w:t>
      </w:r>
      <w:r>
        <w:rPr>
          <w:b w:val="0"/>
        </w:rPr>
        <w:t xml:space="preserve"> reconhecer tarefas de interesse, desgaste, necessidade e potencial de simplificação.</w:t>
      </w:r>
    </w:p>
    <w:p>
      <w:pPr>
        <w:pStyle w:val="ListBullet"/>
      </w:pPr>
      <w:r>
        <w:rPr>
          <w:b/>
        </w:rPr>
        <w:t>Negociar ajustes:</w:t>
      </w:r>
      <w:r>
        <w:rPr>
          <w:b w:val="0"/>
        </w:rPr>
        <w:t xml:space="preserve"> propor mudanças graduais de organização, divisão de tarefas ou horários, com responsabilidades explícitas.</w:t>
      </w:r>
    </w:p>
    <w:p>
      <w:pPr>
        <w:pStyle w:val="ListBullet"/>
      </w:pPr>
      <w:r>
        <w:rPr>
          <w:b/>
        </w:rPr>
        <w:t>Dividir ganhos de eficiência:</w:t>
      </w:r>
      <w:r>
        <w:rPr>
          <w:b w:val="0"/>
        </w:rPr>
        <w:t xml:space="preserve"> avaliar parte do ganho de produtividade como tempo liberado, respeitando remuneração e qualidade do serviço.</w:t>
      </w:r>
    </w:p>
    <w:p>
      <w:pPr>
        <w:pStyle w:val="ListBullet"/>
      </w:pPr>
      <w:r>
        <w:rPr>
          <w:b/>
        </w:rPr>
        <w:t>Cuidar de tarefas pouco desejadas:</w:t>
      </w:r>
      <w:r>
        <w:rPr>
          <w:b w:val="0"/>
        </w:rPr>
        <w:t xml:space="preserve"> melhorar condições, remunerar adequadamente, dividir de modo justo e automatizar quando viável.</w:t>
      </w:r>
    </w:p>
    <w:p>
      <w:pPr>
        <w:pStyle w:val="ListBullet"/>
      </w:pPr>
      <w:r>
        <w:rPr>
          <w:b/>
        </w:rPr>
        <w:t>Preservar serviços essenciais:</w:t>
      </w:r>
      <w:r>
        <w:rPr>
          <w:b w:val="0"/>
        </w:rPr>
        <w:t xml:space="preserve"> planejar cobertura e continuidade. Na saúde, interesse pessoal não substitui competência, supervisão e segurança assistencial.</w:t>
      </w:r>
    </w:p>
    <w:p>
      <w:r>
        <w:rPr>
          <w:b w:val="0"/>
        </w:rPr>
        <w:t>O estudo de 2025 incluiu 2.896 trabalhadores de 141 organizações e um processo de reorganização anterior à redução de jornada. A referência apoia experimentar redução real de horas e mudança de processos; comprimir a mesma carga sem ajustes exige avaliação própria. [8]</w:t>
      </w:r>
    </w:p>
    <w:p>
      <w:pPr>
        <w:pStyle w:val="Heading2"/>
      </w:pPr>
      <w:r>
        <w:t>Educação</w:t>
      </w:r>
    </w:p>
    <w:p>
      <w:r>
        <w:rPr>
          <w:b w:val="0"/>
        </w:rPr>
        <w:t>A escola combina fundamentos essenciais com espaço de escolha. Leitura, escrita, matemática, ciência, história, artes e pensamento crítico podem ser ligados a questões concretas e interesses do estudante. Aprendizagem ativa tem suporte em contextos estudados, mas entretenimento ou gamificação isolados não comprovam aprendizagem. [9]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1984"/>
        <w:gridCol w:w="3685"/>
        <w:gridCol w:w="3402"/>
      </w:tblGrid>
      <w:tr>
        <w:trPr>
          <w:cantSplit/>
          <w:tblHeader/>
        </w:trPr>
        <w:tc>
          <w:tcPr>
            <w:tcW w:type="dxa" w:w="1984"/>
            <w:vAlign w:val="center"/>
            <w:shd w:fill="23465E"/>
          </w:tcPr>
          <w:p>
            <w:pPr>
              <w:keepNext w:val="0"/>
              <w:widowControl/>
              <w:spacing w:line="259" w:lineRule="auto" w:after="0" w:before="0"/>
            </w:pPr>
            <w:r>
              <w:rPr>
                <w:b/>
                <w:color w:val="FFFFFF"/>
                <w:sz w:val="21"/>
              </w:rPr>
              <w:t>Trilha proposta</w:t>
            </w:r>
          </w:p>
        </w:tc>
        <w:tc>
          <w:tcPr>
            <w:tcW w:type="dxa" w:w="3685"/>
            <w:vAlign w:val="center"/>
            <w:shd w:fill="23465E"/>
          </w:tcPr>
          <w:p>
            <w:pPr>
              <w:keepNext w:val="0"/>
              <w:widowControl/>
              <w:spacing w:line="259" w:lineRule="auto" w:after="0" w:before="0"/>
            </w:pPr>
            <w:r>
              <w:rPr>
                <w:b/>
                <w:color w:val="FFFFFF"/>
                <w:sz w:val="21"/>
              </w:rPr>
              <w:t>Experiência de aprendizagem</w:t>
            </w:r>
          </w:p>
        </w:tc>
        <w:tc>
          <w:tcPr>
            <w:tcW w:type="dxa" w:w="3402"/>
            <w:vAlign w:val="center"/>
            <w:shd w:fill="23465E"/>
          </w:tcPr>
          <w:p>
            <w:pPr>
              <w:keepNext w:val="0"/>
              <w:widowControl/>
              <w:spacing w:line="259" w:lineRule="auto" w:after="0" w:before="0"/>
            </w:pPr>
            <w:r>
              <w:rPr>
                <w:b/>
                <w:color w:val="FFFFFF"/>
                <w:sz w:val="21"/>
              </w:rPr>
              <w:t>Competência a verificar</w:t>
            </w:r>
          </w:p>
        </w:tc>
      </w:tr>
      <w:tr>
        <w:trPr>
          <w:cantSplit/>
        </w:trPr>
        <w:tc>
          <w:tcPr>
            <w:tcW w:type="dxa" w:w="1984"/>
            <w:vAlign w:val="center"/>
          </w:tcPr>
          <w:p>
            <w:pPr>
              <w:keepNext w:val="0"/>
              <w:widowControl/>
              <w:spacing w:line="259" w:lineRule="auto" w:after="0" w:before="0"/>
            </w:pPr>
            <w:r>
              <w:rPr>
                <w:b w:val="0"/>
                <w:sz w:val="21"/>
              </w:rPr>
              <w:t>Vida prática</w:t>
            </w:r>
          </w:p>
        </w:tc>
        <w:tc>
          <w:tcPr>
            <w:tcW w:type="dxa" w:w="3685"/>
            <w:vAlign w:val="center"/>
          </w:tcPr>
          <w:p>
            <w:pPr>
              <w:keepNext w:val="0"/>
              <w:widowControl/>
              <w:spacing w:line="259" w:lineRule="auto" w:after="0" w:before="0"/>
            </w:pPr>
            <w:r>
              <w:rPr>
                <w:b w:val="0"/>
                <w:sz w:val="21"/>
              </w:rPr>
              <w:t>Planejar uma experiência com orçamento realista.</w:t>
            </w:r>
          </w:p>
        </w:tc>
        <w:tc>
          <w:tcPr>
            <w:tcW w:type="dxa" w:w="3402"/>
            <w:vAlign w:val="center"/>
          </w:tcPr>
          <w:p>
            <w:pPr>
              <w:keepNext w:val="0"/>
              <w:widowControl/>
              <w:spacing w:line="259" w:lineRule="auto" w:after="0" w:before="0"/>
            </w:pPr>
            <w:r>
              <w:rPr>
                <w:b w:val="0"/>
                <w:sz w:val="21"/>
              </w:rPr>
              <w:t>Calcular, comparar fontes e decidir.</w:t>
            </w:r>
          </w:p>
        </w:tc>
      </w:tr>
      <w:tr>
        <w:trPr>
          <w:cantSplit/>
        </w:trPr>
        <w:tc>
          <w:tcPr>
            <w:tcW w:type="dxa" w:w="1984"/>
            <w:vAlign w:val="center"/>
            <w:shd w:fill="F2F6F8"/>
          </w:tcPr>
          <w:p>
            <w:pPr>
              <w:keepNext w:val="0"/>
              <w:widowControl/>
              <w:spacing w:line="259" w:lineRule="auto" w:after="0" w:before="0"/>
            </w:pPr>
            <w:r>
              <w:rPr>
                <w:b w:val="0"/>
                <w:sz w:val="21"/>
              </w:rPr>
              <w:t>Tecnologia e IA</w:t>
            </w:r>
          </w:p>
        </w:tc>
        <w:tc>
          <w:tcPr>
            <w:tcW w:type="dxa" w:w="3685"/>
            <w:vAlign w:val="center"/>
            <w:shd w:fill="F2F6F8"/>
          </w:tcPr>
          <w:p>
            <w:pPr>
              <w:keepNext w:val="0"/>
              <w:widowControl/>
              <w:spacing w:line="259" w:lineRule="auto" w:after="0" w:before="0"/>
            </w:pPr>
            <w:r>
              <w:rPr>
                <w:b w:val="0"/>
                <w:sz w:val="21"/>
              </w:rPr>
              <w:t>Criar um pequeno recurso útil e revisar suas respostas.</w:t>
            </w:r>
          </w:p>
        </w:tc>
        <w:tc>
          <w:tcPr>
            <w:tcW w:type="dxa" w:w="3402"/>
            <w:vAlign w:val="center"/>
            <w:shd w:fill="F2F6F8"/>
          </w:tcPr>
          <w:p>
            <w:pPr>
              <w:keepNext w:val="0"/>
              <w:widowControl/>
              <w:spacing w:line="259" w:lineRule="auto" w:after="0" w:before="0"/>
            </w:pPr>
            <w:r>
              <w:rPr>
                <w:b w:val="0"/>
                <w:sz w:val="21"/>
              </w:rPr>
              <w:t>Verificar informação e compreender limites.</w:t>
            </w:r>
          </w:p>
        </w:tc>
      </w:tr>
      <w:tr>
        <w:trPr>
          <w:cantSplit/>
        </w:trPr>
        <w:tc>
          <w:tcPr>
            <w:tcW w:type="dxa" w:w="1984"/>
            <w:vAlign w:val="center"/>
          </w:tcPr>
          <w:p>
            <w:pPr>
              <w:keepNext w:val="0"/>
              <w:widowControl/>
              <w:spacing w:line="259" w:lineRule="auto" w:after="0" w:before="0"/>
            </w:pPr>
            <w:r>
              <w:rPr>
                <w:b w:val="0"/>
                <w:sz w:val="21"/>
              </w:rPr>
              <w:t>Corpo e relações</w:t>
            </w:r>
          </w:p>
        </w:tc>
        <w:tc>
          <w:tcPr>
            <w:tcW w:type="dxa" w:w="3685"/>
            <w:vAlign w:val="center"/>
          </w:tcPr>
          <w:p>
            <w:pPr>
              <w:keepNext w:val="0"/>
              <w:widowControl/>
              <w:spacing w:line="259" w:lineRule="auto" w:after="0" w:before="0"/>
            </w:pPr>
            <w:r>
              <w:rPr>
                <w:b w:val="0"/>
                <w:sz w:val="21"/>
              </w:rPr>
              <w:t>Discutir emoções, limites, consentimento e busca de ajuda.</w:t>
            </w:r>
          </w:p>
        </w:tc>
        <w:tc>
          <w:tcPr>
            <w:tcW w:type="dxa" w:w="3402"/>
            <w:vAlign w:val="center"/>
          </w:tcPr>
          <w:p>
            <w:pPr>
              <w:keepNext w:val="0"/>
              <w:widowControl/>
              <w:spacing w:line="259" w:lineRule="auto" w:after="0" w:before="0"/>
            </w:pPr>
            <w:r>
              <w:rPr>
                <w:b w:val="0"/>
                <w:sz w:val="21"/>
              </w:rPr>
              <w:t>Comunicar escolhas e reconhecer situações de risco.</w:t>
            </w:r>
          </w:p>
        </w:tc>
      </w:tr>
      <w:tr>
        <w:trPr>
          <w:cantSplit/>
        </w:trPr>
        <w:tc>
          <w:tcPr>
            <w:tcW w:type="dxa" w:w="1984"/>
            <w:vAlign w:val="center"/>
            <w:shd w:fill="F2F6F8"/>
          </w:tcPr>
          <w:p>
            <w:pPr>
              <w:keepNext w:val="0"/>
              <w:widowControl/>
              <w:spacing w:line="259" w:lineRule="auto" w:after="0" w:before="0"/>
            </w:pPr>
            <w:r>
              <w:rPr>
                <w:b w:val="0"/>
                <w:sz w:val="21"/>
              </w:rPr>
              <w:t>Arte e natureza</w:t>
            </w:r>
          </w:p>
        </w:tc>
        <w:tc>
          <w:tcPr>
            <w:tcW w:type="dxa" w:w="3685"/>
            <w:vAlign w:val="center"/>
            <w:shd w:fill="F2F6F8"/>
          </w:tcPr>
          <w:p>
            <w:pPr>
              <w:keepNext w:val="0"/>
              <w:widowControl/>
              <w:spacing w:line="259" w:lineRule="auto" w:after="0" w:before="0"/>
            </w:pPr>
            <w:r>
              <w:rPr>
                <w:b w:val="0"/>
                <w:sz w:val="21"/>
              </w:rPr>
              <w:t>Produzir histórias, música ou um projeto ambiental.</w:t>
            </w:r>
          </w:p>
        </w:tc>
        <w:tc>
          <w:tcPr>
            <w:tcW w:type="dxa" w:w="3402"/>
            <w:vAlign w:val="center"/>
            <w:shd w:fill="F2F6F8"/>
          </w:tcPr>
          <w:p>
            <w:pPr>
              <w:keepNext w:val="0"/>
              <w:widowControl/>
              <w:spacing w:line="259" w:lineRule="auto" w:after="0" w:before="0"/>
            </w:pPr>
            <w:r>
              <w:rPr>
                <w:b w:val="0"/>
                <w:sz w:val="21"/>
              </w:rPr>
              <w:t>Criar, observar e colaborar.</w:t>
            </w:r>
          </w:p>
        </w:tc>
      </w:tr>
      <w:tr>
        <w:trPr>
          <w:cantSplit/>
        </w:trPr>
        <w:tc>
          <w:tcPr>
            <w:tcW w:type="dxa" w:w="1984"/>
            <w:vAlign w:val="center"/>
          </w:tcPr>
          <w:p>
            <w:pPr>
              <w:keepNext w:val="0"/>
              <w:widowControl/>
              <w:spacing w:line="259" w:lineRule="auto" w:after="0" w:before="0"/>
            </w:pPr>
            <w:r>
              <w:rPr>
                <w:b w:val="0"/>
                <w:sz w:val="21"/>
              </w:rPr>
              <w:t>Ofícios e profissões</w:t>
            </w:r>
          </w:p>
        </w:tc>
        <w:tc>
          <w:tcPr>
            <w:tcW w:type="dxa" w:w="3685"/>
            <w:vAlign w:val="center"/>
          </w:tcPr>
          <w:p>
            <w:pPr>
              <w:keepNext w:val="0"/>
              <w:widowControl/>
              <w:spacing w:line="259" w:lineRule="auto" w:after="0" w:before="0"/>
            </w:pPr>
            <w:r>
              <w:rPr>
                <w:b w:val="0"/>
                <w:sz w:val="21"/>
              </w:rPr>
              <w:t>Experimentar atividades com orientação.</w:t>
            </w:r>
          </w:p>
        </w:tc>
        <w:tc>
          <w:tcPr>
            <w:tcW w:type="dxa" w:w="3402"/>
            <w:vAlign w:val="center"/>
          </w:tcPr>
          <w:p>
            <w:pPr>
              <w:keepNext w:val="0"/>
              <w:widowControl/>
              <w:spacing w:line="259" w:lineRule="auto" w:after="0" w:before="0"/>
            </w:pPr>
            <w:r>
              <w:rPr>
                <w:b w:val="0"/>
                <w:sz w:val="21"/>
              </w:rPr>
              <w:t>Reconhecer interesses, treinar e receber feedback.</w:t>
            </w:r>
          </w:p>
        </w:tc>
      </w:tr>
    </w:tbl>
    <w:p>
      <w:pPr>
        <w:spacing w:after="20"/>
      </w:pPr>
    </w:p>
    <w:p>
      <w:r>
        <w:rPr>
          <w:b w:val="0"/>
        </w:rPr>
        <w:t>A proposta começa como oficina complementar ou piloto negociado com educadores. Conteúdo, acesso e avaliação devem ser adequados à idade e ao contexto. A IA auxilia; professores mantêm responsabilidade pedagógica. A liberdade de escolha deve coexistir com oportunidades de aprender o que ainda é difícil ou pouco conhecido.</w:t>
      </w:r>
    </w:p>
    <w:p>
      <w:pPr>
        <w:pStyle w:val="Heading1"/>
      </w:pPr>
      <w:r>
        <w:t>6 Prazer convivência e sexualidade</w:t>
      </w:r>
    </w:p>
    <w:p>
      <w:r>
        <w:rPr>
          <w:b w:val="0"/>
        </w:rPr>
        <w:t>O projeto reconhece amizade, afeto, intimidade e prazer como dimensões possíveis de uma vida boa. Há diversidade de desejo, valores, orientação e momento de vida. A autonomia inclui querer, esperar, recusar e não desejar relações sexuais.</w:t>
      </w:r>
    </w:p>
    <w:p>
      <w:r>
        <w:rPr>
          <w:b/>
        </w:rPr>
        <w:t>Convivência:</w:t>
      </w:r>
      <w:r>
        <w:rPr>
          <w:b w:val="0"/>
        </w:rPr>
        <w:t xml:space="preserve"> organizar oportunidades de encontrar pessoas em jogos, arte, esporte, natureza, cultura e interesses comuns. Cada participante escolhe com quem conversar, continuar uma relação ou encerrar o contato. Não é necessário informar a vida íntima ao projeto.</w:t>
      </w:r>
    </w:p>
    <w:p>
      <w:r>
        <w:rPr>
          <w:b/>
        </w:rPr>
        <w:t>Eixo de encontros entre adultos:</w:t>
      </w:r>
      <w:r>
        <w:rPr>
          <w:b w:val="0"/>
        </w:rPr>
        <w:t xml:space="preserve"> adotar participação exclusiva de pessoas com 18 anos ou mais. Esse corte é uma regra de desenho do programa. O consentimento deve ser livre, informado, específico, contínuo e revogável, sem pressão econômica, afetiva ou institucional.</w:t>
      </w:r>
    </w:p>
    <w:p>
      <w:pPr>
        <w:pStyle w:val="ListBullet"/>
      </w:pPr>
      <w:r>
        <w:rPr>
          <w:b/>
        </w:rPr>
        <w:t>Escolha real:</w:t>
      </w:r>
      <w:r>
        <w:rPr>
          <w:b w:val="0"/>
        </w:rPr>
        <w:t xml:space="preserve"> amizade, romance, participação em grupo ou recusa têm o mesmo reconhecimento.</w:t>
      </w:r>
    </w:p>
    <w:p>
      <w:pPr>
        <w:pStyle w:val="ListBullet"/>
      </w:pPr>
      <w:r>
        <w:rPr>
          <w:b/>
        </w:rPr>
        <w:t>Saúde sexual:</w:t>
      </w:r>
      <w:r>
        <w:rPr>
          <w:b w:val="0"/>
        </w:rPr>
        <w:t xml:space="preserve"> acesso a informação e a profissionais sobre contracepção, prevenção de infecções sexualmente transmissíveis, testagem e cuidado quando indicado.</w:t>
      </w:r>
    </w:p>
    <w:p>
      <w:pPr>
        <w:pStyle w:val="ListBullet"/>
      </w:pPr>
      <w:r>
        <w:rPr>
          <w:b/>
        </w:rPr>
        <w:t>Respeito e resposta:</w:t>
      </w:r>
      <w:r>
        <w:rPr>
          <w:b w:val="0"/>
        </w:rPr>
        <w:t xml:space="preserve"> regras claras contra assédio, canal de acolhimento, moderação humana e meios simples de sair da atividade.</w:t>
      </w:r>
    </w:p>
    <w:p>
      <w:pPr>
        <w:pStyle w:val="ListBullet"/>
      </w:pPr>
      <w:r>
        <w:rPr>
          <w:b/>
        </w:rPr>
        <w:t>Privacidade:</w:t>
      </w:r>
      <w:r>
        <w:rPr>
          <w:b w:val="0"/>
        </w:rPr>
        <w:t xml:space="preserve"> coleta mínima de dados; relatos e informações de saúde ficam fora de perfis públicos e mecanismos de comparação.</w:t>
      </w:r>
    </w:p>
    <w:p>
      <w:pPr>
        <w:pStyle w:val="ListBullet"/>
      </w:pPr>
      <w:r>
        <w:rPr>
          <w:b/>
        </w:rPr>
        <w:t>Adolescentes:</w:t>
      </w:r>
      <w:r>
        <w:rPr>
          <w:b w:val="0"/>
        </w:rPr>
        <w:t xml:space="preserve"> frente própria de educação apropriada à idade, proteção, diálogo e orientação profissional, sem organização de encontros ou experimentação sexual pelo programa.</w:t>
      </w:r>
    </w:p>
    <w:p>
      <w:r>
        <w:rPr>
          <w:b w:val="0"/>
        </w:rPr>
        <w:t>A OMS, em março de 2026, afirma que educação integral em sexualidade de qualidade não aumenta a atividade sexual nem incentiva seu início mais precoce; pode apoiar comportamentos protetores. A UNESCO oferece orientações progressivas, centradas em direitos e no melhor interesse da pessoa jovem. A implementação requer formação e cuidado. [10, 11]</w:t>
      </w:r>
    </w:p>
    <w:p>
      <w:r>
        <w:rPr>
          <w:b/>
        </w:rPr>
        <w:t>A segurança é trabalhada por redução de riscos; não pode ser garantida por promessa.</w:t>
      </w:r>
      <w:r>
        <w:rPr>
          <w:b w:val="0"/>
        </w:rPr>
        <w:t xml:space="preserve"> O programa não utiliza frequência sexual, número de parceiros ou estado civil como indicadores de êxito. A natureza inspira movimento, convivência e experiência sensorial; a observação de um comportamento natural, por si só, não define uma regra ética.</w:t>
      </w:r>
    </w:p>
    <w:p>
      <w:pPr>
        <w:pStyle w:val="Heading1"/>
      </w:pPr>
      <w:r>
        <w:t>7 Tecnologia e magia no Reaverso</w:t>
      </w:r>
    </w:p>
    <w:p>
      <w:r>
        <w:rPr>
          <w:b w:val="0"/>
        </w:rPr>
        <w:t>A tecnologia avançada entra quando resolve uma necessidade concreta. O primeiro protótipo pode funcionar com recursos já disponíveis: um formulário curto, uma agenda escolhida pela pessoa e uma conversa com IA. Integrações, realidade aumentada e experiências imersivas pertencem a etapas posteriores.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1984"/>
        <w:gridCol w:w="3685"/>
        <w:gridCol w:w="3402"/>
      </w:tblGrid>
      <w:tr>
        <w:trPr>
          <w:cantSplit/>
          <w:tblHeader/>
        </w:trPr>
        <w:tc>
          <w:tcPr>
            <w:tcW w:type="dxa" w:w="1984"/>
            <w:vAlign w:val="center"/>
            <w:shd w:fill="23465E"/>
          </w:tcPr>
          <w:p>
            <w:pPr>
              <w:keepNext w:val="0"/>
              <w:widowControl/>
              <w:spacing w:line="259" w:lineRule="auto" w:after="0" w:before="0"/>
            </w:pPr>
            <w:r>
              <w:rPr>
                <w:b/>
                <w:color w:val="FFFFFF"/>
                <w:sz w:val="21"/>
              </w:rPr>
              <w:t>Função proposta</w:t>
            </w:r>
          </w:p>
        </w:tc>
        <w:tc>
          <w:tcPr>
            <w:tcW w:type="dxa" w:w="3685"/>
            <w:vAlign w:val="center"/>
            <w:shd w:fill="23465E"/>
          </w:tcPr>
          <w:p>
            <w:pPr>
              <w:keepNext w:val="0"/>
              <w:widowControl/>
              <w:spacing w:line="259" w:lineRule="auto" w:after="0" w:before="0"/>
            </w:pPr>
            <w:r>
              <w:rPr>
                <w:b/>
                <w:color w:val="FFFFFF"/>
                <w:sz w:val="21"/>
              </w:rPr>
              <w:t>Uso prático</w:t>
            </w:r>
          </w:p>
        </w:tc>
        <w:tc>
          <w:tcPr>
            <w:tcW w:type="dxa" w:w="3402"/>
            <w:vAlign w:val="center"/>
            <w:shd w:fill="23465E"/>
          </w:tcPr>
          <w:p>
            <w:pPr>
              <w:keepNext w:val="0"/>
              <w:widowControl/>
              <w:spacing w:line="259" w:lineRule="auto" w:after="0" w:before="0"/>
            </w:pPr>
            <w:r>
              <w:rPr>
                <w:b/>
                <w:color w:val="FFFFFF"/>
                <w:sz w:val="21"/>
              </w:rPr>
              <w:t>Controle da pessoa</w:t>
            </w:r>
          </w:p>
        </w:tc>
      </w:tr>
      <w:tr>
        <w:trPr>
          <w:cantSplit/>
        </w:trPr>
        <w:tc>
          <w:tcPr>
            <w:tcW w:type="dxa" w:w="1984"/>
            <w:vAlign w:val="center"/>
          </w:tcPr>
          <w:p>
            <w:pPr>
              <w:keepNext w:val="0"/>
              <w:widowControl/>
              <w:spacing w:line="259" w:lineRule="auto" w:after="0" w:before="0"/>
            </w:pPr>
            <w:r>
              <w:rPr>
                <w:b w:val="0"/>
                <w:sz w:val="21"/>
              </w:rPr>
              <w:t>Guardião do tempo</w:t>
            </w:r>
          </w:p>
        </w:tc>
        <w:tc>
          <w:tcPr>
            <w:tcW w:type="dxa" w:w="3685"/>
            <w:vAlign w:val="center"/>
          </w:tcPr>
          <w:p>
            <w:pPr>
              <w:keepNext w:val="0"/>
              <w:widowControl/>
              <w:spacing w:line="259" w:lineRule="auto" w:after="0" w:before="0"/>
            </w:pPr>
            <w:r>
              <w:rPr>
                <w:b w:val="0"/>
                <w:sz w:val="21"/>
              </w:rPr>
              <w:t>Sugerir períodos livres e simplificar preparação.</w:t>
            </w:r>
          </w:p>
        </w:tc>
        <w:tc>
          <w:tcPr>
            <w:tcW w:type="dxa" w:w="3402"/>
            <w:vAlign w:val="center"/>
          </w:tcPr>
          <w:p>
            <w:pPr>
              <w:keepNext w:val="0"/>
              <w:widowControl/>
              <w:spacing w:line="259" w:lineRule="auto" w:after="0" w:before="0"/>
            </w:pPr>
            <w:r>
              <w:rPr>
                <w:b w:val="0"/>
                <w:sz w:val="21"/>
              </w:rPr>
              <w:t>Aceitar, editar, adiar ou ignorar.</w:t>
            </w:r>
          </w:p>
        </w:tc>
      </w:tr>
      <w:tr>
        <w:trPr>
          <w:cantSplit/>
        </w:trPr>
        <w:tc>
          <w:tcPr>
            <w:tcW w:type="dxa" w:w="1984"/>
            <w:vAlign w:val="center"/>
            <w:shd w:fill="F2F6F8"/>
          </w:tcPr>
          <w:p>
            <w:pPr>
              <w:keepNext w:val="0"/>
              <w:widowControl/>
              <w:spacing w:line="259" w:lineRule="auto" w:after="0" w:before="0"/>
            </w:pPr>
            <w:r>
              <w:rPr>
                <w:b w:val="0"/>
                <w:sz w:val="21"/>
              </w:rPr>
              <w:t>Curadoria de experiências</w:t>
            </w:r>
          </w:p>
        </w:tc>
        <w:tc>
          <w:tcPr>
            <w:tcW w:type="dxa" w:w="3685"/>
            <w:vAlign w:val="center"/>
            <w:shd w:fill="F2F6F8"/>
          </w:tcPr>
          <w:p>
            <w:pPr>
              <w:keepNext w:val="0"/>
              <w:widowControl/>
              <w:spacing w:line="259" w:lineRule="auto" w:after="0" w:before="0"/>
            </w:pPr>
            <w:r>
              <w:rPr>
                <w:b w:val="0"/>
                <w:sz w:val="21"/>
              </w:rPr>
              <w:t>Oferecer até três opções por vez, com custo e duração.</w:t>
            </w:r>
          </w:p>
        </w:tc>
        <w:tc>
          <w:tcPr>
            <w:tcW w:type="dxa" w:w="3402"/>
            <w:vAlign w:val="center"/>
            <w:shd w:fill="F2F6F8"/>
          </w:tcPr>
          <w:p>
            <w:pPr>
              <w:keepNext w:val="0"/>
              <w:widowControl/>
              <w:spacing w:line="259" w:lineRule="auto" w:after="0" w:before="0"/>
            </w:pPr>
            <w:r>
              <w:rPr>
                <w:b w:val="0"/>
                <w:sz w:val="21"/>
              </w:rPr>
              <w:t>Corrigir preferências e escolher.</w:t>
            </w:r>
          </w:p>
        </w:tc>
      </w:tr>
      <w:tr>
        <w:trPr>
          <w:cantSplit/>
        </w:trPr>
        <w:tc>
          <w:tcPr>
            <w:tcW w:type="dxa" w:w="1984"/>
            <w:vAlign w:val="center"/>
          </w:tcPr>
          <w:p>
            <w:pPr>
              <w:keepNext w:val="0"/>
              <w:widowControl/>
              <w:spacing w:line="259" w:lineRule="auto" w:after="0" w:before="0"/>
            </w:pPr>
            <w:r>
              <w:rPr>
                <w:b w:val="0"/>
                <w:sz w:val="21"/>
              </w:rPr>
              <w:t>Assistente de organização</w:t>
            </w:r>
          </w:p>
        </w:tc>
        <w:tc>
          <w:tcPr>
            <w:tcW w:type="dxa" w:w="3685"/>
            <w:vAlign w:val="center"/>
          </w:tcPr>
          <w:p>
            <w:pPr>
              <w:keepNext w:val="0"/>
              <w:widowControl/>
              <w:spacing w:line="259" w:lineRule="auto" w:after="0" w:before="0"/>
            </w:pPr>
            <w:r>
              <w:rPr>
                <w:b w:val="0"/>
                <w:sz w:val="21"/>
              </w:rPr>
              <w:t>Preparar listas, resumos e planos pequenos.</w:t>
            </w:r>
          </w:p>
        </w:tc>
        <w:tc>
          <w:tcPr>
            <w:tcW w:type="dxa" w:w="3402"/>
            <w:vAlign w:val="center"/>
          </w:tcPr>
          <w:p>
            <w:pPr>
              <w:keepNext w:val="0"/>
              <w:widowControl/>
              <w:spacing w:line="259" w:lineRule="auto" w:after="0" w:before="0"/>
            </w:pPr>
            <w:r>
              <w:rPr>
                <w:b w:val="0"/>
                <w:sz w:val="21"/>
              </w:rPr>
              <w:t>Revisar antes de qualquer ação externa.</w:t>
            </w:r>
          </w:p>
        </w:tc>
      </w:tr>
      <w:tr>
        <w:trPr>
          <w:cantSplit/>
        </w:trPr>
        <w:tc>
          <w:tcPr>
            <w:tcW w:type="dxa" w:w="1984"/>
            <w:vAlign w:val="center"/>
            <w:shd w:fill="F2F6F8"/>
          </w:tcPr>
          <w:p>
            <w:pPr>
              <w:keepNext w:val="0"/>
              <w:widowControl/>
              <w:spacing w:line="259" w:lineRule="auto" w:after="0" w:before="0"/>
            </w:pPr>
            <w:r>
              <w:rPr>
                <w:b w:val="0"/>
                <w:sz w:val="21"/>
              </w:rPr>
              <w:t>Caderno de experiências</w:t>
            </w:r>
          </w:p>
        </w:tc>
        <w:tc>
          <w:tcPr>
            <w:tcW w:type="dxa" w:w="3685"/>
            <w:vAlign w:val="center"/>
            <w:shd w:fill="F2F6F8"/>
          </w:tcPr>
          <w:p>
            <w:pPr>
              <w:keepNext w:val="0"/>
              <w:widowControl/>
              <w:spacing w:line="259" w:lineRule="auto" w:after="0" w:before="0"/>
            </w:pPr>
            <w:r>
              <w:rPr>
                <w:b w:val="0"/>
                <w:sz w:val="21"/>
              </w:rPr>
              <w:t>Guardar o que a pessoa deseja repetir.</w:t>
            </w:r>
          </w:p>
        </w:tc>
        <w:tc>
          <w:tcPr>
            <w:tcW w:type="dxa" w:w="3402"/>
            <w:vAlign w:val="center"/>
            <w:shd w:fill="F2F6F8"/>
          </w:tcPr>
          <w:p>
            <w:pPr>
              <w:keepNext w:val="0"/>
              <w:widowControl/>
              <w:spacing w:line="259" w:lineRule="auto" w:after="0" w:before="0"/>
            </w:pPr>
            <w:r>
              <w:rPr>
                <w:b w:val="0"/>
                <w:sz w:val="21"/>
              </w:rPr>
              <w:t>Registrar pouco, exportar e apagar.</w:t>
            </w:r>
          </w:p>
        </w:tc>
      </w:tr>
      <w:tr>
        <w:trPr>
          <w:cantSplit/>
        </w:trPr>
        <w:tc>
          <w:tcPr>
            <w:tcW w:type="dxa" w:w="1984"/>
            <w:vAlign w:val="center"/>
          </w:tcPr>
          <w:p>
            <w:pPr>
              <w:keepNext w:val="0"/>
              <w:widowControl/>
              <w:spacing w:line="259" w:lineRule="auto" w:after="0" w:before="0"/>
            </w:pPr>
            <w:r>
              <w:rPr>
                <w:b w:val="0"/>
                <w:sz w:val="21"/>
              </w:rPr>
              <w:t>Narrador do Reaverso</w:t>
            </w:r>
          </w:p>
        </w:tc>
        <w:tc>
          <w:tcPr>
            <w:tcW w:type="dxa" w:w="3685"/>
            <w:vAlign w:val="center"/>
          </w:tcPr>
          <w:p>
            <w:pPr>
              <w:keepNext w:val="0"/>
              <w:widowControl/>
              <w:spacing w:line="259" w:lineRule="auto" w:after="0" w:before="0"/>
            </w:pPr>
            <w:r>
              <w:rPr>
                <w:b w:val="0"/>
                <w:sz w:val="21"/>
              </w:rPr>
              <w:t>Criar histórias, missões e ambientes imaginativos.</w:t>
            </w:r>
          </w:p>
        </w:tc>
        <w:tc>
          <w:tcPr>
            <w:tcW w:type="dxa" w:w="3402"/>
            <w:vAlign w:val="center"/>
          </w:tcPr>
          <w:p>
            <w:pPr>
              <w:keepNext w:val="0"/>
              <w:widowControl/>
              <w:spacing w:line="259" w:lineRule="auto" w:after="0" w:before="0"/>
            </w:pPr>
            <w:r>
              <w:rPr>
                <w:b w:val="0"/>
                <w:sz w:val="21"/>
              </w:rPr>
              <w:t>Ativar ou desligar a fantasia.</w:t>
            </w:r>
          </w:p>
        </w:tc>
      </w:tr>
    </w:tbl>
    <w:p>
      <w:pPr>
        <w:spacing w:after="20"/>
      </w:pPr>
    </w:p>
    <w:p>
      <w:r>
        <w:rPr>
          <w:b/>
        </w:rPr>
        <w:t>Magia como linguagem criativa:</w:t>
      </w:r>
      <w:r>
        <w:rPr>
          <w:b w:val="0"/>
        </w:rPr>
        <w:t xml:space="preserve"> “Portal da Amizade” pode nomear uma noite de jogos; “Feitiço da Pausa”, um convite ao descanso; “Expedição do Reaverso”, uma experiência de arte ou natureza; “Grimório do Viver”, um registro voluntário de lembranças. São recursos narrativos, artísticos e lúdicos, sem alegação de efeitos sobrenaturais verificáveis.</w:t>
      </w:r>
    </w:p>
    <w:p>
      <w:r>
        <w:rPr>
          <w:b w:val="0"/>
        </w:rPr>
        <w:t>A espiritualidade pode participar como fonte pessoal de sentido, com respeito a outras crenças e ao direito de não ter religião. A fantasia permanece opcional e não estabelece recomendações clínicas, previsões financeiras ou decisões sobre outras pessoas.</w:t>
      </w:r>
    </w:p>
    <w:p>
      <w:r>
        <w:rPr>
          <w:b/>
        </w:rPr>
        <w:t>Critério técnico:</w:t>
      </w:r>
      <w:r>
        <w:rPr>
          <w:b w:val="0"/>
        </w:rPr>
        <w:t xml:space="preserve"> medir tempo líquido devolvido, descontando o tempo gasto para configurar, corrigir e manter a ferramenta. A IA apresenta limites e permite revisão; ações como compra, pagamento, envio de mensagem ou mudança de compromisso dependem da autorização da pessoa.</w:t>
      </w:r>
    </w:p>
    <w:p>
      <w:r>
        <w:rPr>
          <w:b/>
        </w:rPr>
        <w:t>Privacidade por desenho:</w:t>
      </w:r>
      <w:r>
        <w:rPr>
          <w:b w:val="0"/>
        </w:rPr>
        <w:t xml:space="preserve"> preferências declaradas, dados mínimos, permissão por finalidade, possibilidade de exclusão e relatórios agregados apenas quando não expuserem participantes. Dados íntimos não podem financiar publicidade ou avaliação de trabalhadores. Recomendações devem tornar visíveis eventuais interesses comerciais.</w:t>
      </w:r>
    </w:p>
    <w:p>
      <w:pPr>
        <w:pStyle w:val="Heading1"/>
      </w:pPr>
      <w:r>
        <w:t>8 Organização social e sustentabilidade</w:t>
      </w:r>
    </w:p>
    <w:p>
      <w:r>
        <w:rPr>
          <w:b w:val="0"/>
        </w:rPr>
        <w:t>A versão social precisa ampliar acesso a tempo e oportunidades. Parques, bibliotecas, espaços culturais, mobilidade, apoio a cuidadores e locais acessíveis de convivência são frentes propostas. O programa deve alcançar pessoas com menor renda, limitações de mobilidade, deficiência, neurodivergência ou pouco tempo disponível.</w:t>
      </w:r>
    </w:p>
    <w:p>
      <w:r>
        <w:rPr>
          <w:b w:val="0"/>
        </w:rPr>
        <w:t>Os primeiros núcleos podem utilizar estruturas comunitárias já existentes, com atividades voluntárias e custos conhecidos. Famílias e redes de apoio dividem tarefas de forma acordada. Empresas podem testar reorganizações; escolas podem oferecer oficinas; serviços de saúde podem colaborar com orientação em suas competências.</w:t>
      </w:r>
    </w:p>
    <w:p>
      <w:r>
        <w:rPr>
          <w:b/>
        </w:rPr>
        <w:t>Governança proposta:</w:t>
      </w:r>
      <w:r>
        <w:rPr>
          <w:b w:val="0"/>
        </w:rPr>
        <w:t xml:space="preserve"> participação de usuários nas decisões, responsáveis identificados, acessibilidade, política de proteção, prestação de contas dos recursos e canal para problemas. Uma entidade deve definir responsabilidades e orçamento antes de ampliar o atendimento.</w:t>
      </w:r>
    </w:p>
    <w:p>
      <w:r>
        <w:rPr>
          <w:b w:val="0"/>
        </w:rPr>
        <w:t>Possíveis fontes futuras de manutenção incluem contribuição voluntária, doações, editais, cooperação institucional e remuneração transparente por serviços. Cada opção exige análise própria. A receita deve cobrir operação e trabalho justo, com avaliação dos conflitos de interesse e sem condicionar a participação à compra de produtos.</w:t>
      </w:r>
    </w:p>
    <w:p>
      <w:r>
        <w:rPr>
          <w:b w:val="0"/>
        </w:rPr>
        <w:t>Essas medidas são propostas de política e organização, não leis vigentes nem impactos já medidos. A expansão depende de custos reais, capacidade de atendimento e resultados do piloto. A oferta de tecnologia não deve transferir mais carga de trabalho aos participantes ou aos trabalhadores que sustentam o serviço.</w:t>
      </w:r>
    </w:p>
    <w:p>
      <w:pPr>
        <w:pStyle w:val="Heading1"/>
      </w:pPr>
      <w:r>
        <w:t>9 Piloto de 30 dias</w:t>
      </w:r>
    </w:p>
    <w:p>
      <w:r>
        <w:rPr>
          <w:b/>
        </w:rPr>
        <w:t>Objetivo do piloto:</w:t>
      </w:r>
      <w:r>
        <w:rPr>
          <w:b w:val="0"/>
        </w:rPr>
        <w:t xml:space="preserve"> descobrir duas práticas que a pessoa deseja manter porque favorecem descanso, prazer ou conexão e cabem em seus recursos. Não é um teste clínico de longevidade. O início pode ter gasto adicional de </w:t>
      </w:r>
      <w:r>
        <w:rPr>
          <w:b/>
        </w:rPr>
        <w:t>R$ 0</w:t>
      </w:r>
      <w:r>
        <w:rPr>
          <w:b w:val="0"/>
        </w:rPr>
        <w:t>, utilizando recursos já disponíveis.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1701"/>
        <w:gridCol w:w="4535"/>
        <w:gridCol w:w="2835"/>
      </w:tblGrid>
      <w:tr>
        <w:trPr>
          <w:cantSplit/>
          <w:tblHeader/>
        </w:trPr>
        <w:tc>
          <w:tcPr>
            <w:tcW w:type="dxa" w:w="1701"/>
            <w:vAlign w:val="center"/>
            <w:shd w:fill="23465E"/>
          </w:tcPr>
          <w:p>
            <w:pPr>
              <w:keepNext w:val="0"/>
              <w:widowControl/>
              <w:spacing w:line="259" w:lineRule="auto" w:after="0" w:before="0"/>
            </w:pPr>
            <w:r>
              <w:rPr>
                <w:b/>
                <w:color w:val="FFFFFF"/>
                <w:sz w:val="21"/>
              </w:rPr>
              <w:t>Período</w:t>
            </w:r>
          </w:p>
        </w:tc>
        <w:tc>
          <w:tcPr>
            <w:tcW w:type="dxa" w:w="4535"/>
            <w:vAlign w:val="center"/>
            <w:shd w:fill="23465E"/>
          </w:tcPr>
          <w:p>
            <w:pPr>
              <w:keepNext w:val="0"/>
              <w:widowControl/>
              <w:spacing w:line="259" w:lineRule="auto" w:after="0" w:before="0"/>
            </w:pPr>
            <w:r>
              <w:rPr>
                <w:b/>
                <w:color w:val="FFFFFF"/>
                <w:sz w:val="21"/>
              </w:rPr>
              <w:t>Ação</w:t>
            </w:r>
          </w:p>
        </w:tc>
        <w:tc>
          <w:tcPr>
            <w:tcW w:type="dxa" w:w="2835"/>
            <w:vAlign w:val="center"/>
            <w:shd w:fill="23465E"/>
          </w:tcPr>
          <w:p>
            <w:pPr>
              <w:keepNext w:val="0"/>
              <w:widowControl/>
              <w:spacing w:line="259" w:lineRule="auto" w:after="0" w:before="0"/>
            </w:pPr>
            <w:r>
              <w:rPr>
                <w:b/>
                <w:color w:val="FFFFFF"/>
                <w:sz w:val="21"/>
              </w:rPr>
              <w:t>Critério de pronto</w:t>
            </w:r>
          </w:p>
        </w:tc>
      </w:tr>
      <w:tr>
        <w:trPr>
          <w:cantSplit/>
        </w:trPr>
        <w:tc>
          <w:tcPr>
            <w:tcW w:type="dxa" w:w="1701"/>
            <w:vAlign w:val="center"/>
          </w:tcPr>
          <w:p>
            <w:pPr>
              <w:keepNext w:val="0"/>
              <w:widowControl/>
              <w:spacing w:line="259" w:lineRule="auto" w:after="0" w:before="0"/>
            </w:pPr>
            <w:r>
              <w:rPr>
                <w:b w:val="0"/>
                <w:sz w:val="21"/>
              </w:rPr>
              <w:t>Dias 1 a 7</w:t>
            </w:r>
          </w:p>
        </w:tc>
        <w:tc>
          <w:tcPr>
            <w:tcW w:type="dxa" w:w="4535"/>
            <w:vAlign w:val="center"/>
          </w:tcPr>
          <w:p>
            <w:pPr>
              <w:keepNext w:val="0"/>
              <w:widowControl/>
              <w:spacing w:line="259" w:lineRule="auto" w:after="0" w:before="0"/>
            </w:pPr>
            <w:r>
              <w:rPr>
                <w:b w:val="0"/>
                <w:sz w:val="21"/>
              </w:rPr>
              <w:t>Escolher três interesses, uma fonte de desgaste e dois períodos possíveis de 30 a 60 minutos.</w:t>
            </w:r>
          </w:p>
        </w:tc>
        <w:tc>
          <w:tcPr>
            <w:tcW w:type="dxa" w:w="2835"/>
            <w:vAlign w:val="center"/>
          </w:tcPr>
          <w:p>
            <w:pPr>
              <w:keepNext w:val="0"/>
              <w:widowControl/>
              <w:spacing w:line="259" w:lineRule="auto" w:after="0" w:before="0"/>
            </w:pPr>
            <w:r>
              <w:rPr>
                <w:b w:val="0"/>
                <w:sz w:val="21"/>
              </w:rPr>
              <w:t>Uma experiência escolhida e espaço realista para realizá-la.</w:t>
            </w:r>
          </w:p>
        </w:tc>
      </w:tr>
      <w:tr>
        <w:trPr>
          <w:cantSplit/>
        </w:trPr>
        <w:tc>
          <w:tcPr>
            <w:tcW w:type="dxa" w:w="1701"/>
            <w:vAlign w:val="center"/>
            <w:shd w:fill="F2F6F8"/>
          </w:tcPr>
          <w:p>
            <w:pPr>
              <w:keepNext w:val="0"/>
              <w:widowControl/>
              <w:spacing w:line="259" w:lineRule="auto" w:after="0" w:before="0"/>
            </w:pPr>
            <w:r>
              <w:rPr>
                <w:b w:val="0"/>
                <w:sz w:val="21"/>
              </w:rPr>
              <w:t>Dias 8 a 14</w:t>
            </w:r>
          </w:p>
        </w:tc>
        <w:tc>
          <w:tcPr>
            <w:tcW w:type="dxa" w:w="4535"/>
            <w:vAlign w:val="center"/>
            <w:shd w:fill="F2F6F8"/>
          </w:tcPr>
          <w:p>
            <w:pPr>
              <w:keepNext w:val="0"/>
              <w:widowControl/>
              <w:spacing w:line="259" w:lineRule="auto" w:after="0" w:before="0"/>
            </w:pPr>
            <w:r>
              <w:rPr>
                <w:b w:val="0"/>
                <w:sz w:val="21"/>
              </w:rPr>
              <w:t>Experimentar duas atividades acessíveis e um contato social desejado, se fizer sentido.</w:t>
            </w:r>
          </w:p>
        </w:tc>
        <w:tc>
          <w:tcPr>
            <w:tcW w:type="dxa" w:w="2835"/>
            <w:vAlign w:val="center"/>
            <w:shd w:fill="F2F6F8"/>
          </w:tcPr>
          <w:p>
            <w:pPr>
              <w:keepNext w:val="0"/>
              <w:widowControl/>
              <w:spacing w:line="259" w:lineRule="auto" w:after="0" w:before="0"/>
            </w:pPr>
            <w:r>
              <w:rPr>
                <w:b w:val="0"/>
                <w:sz w:val="21"/>
              </w:rPr>
              <w:t>Reconhecer o que deu prazer e o que trouxe dificuldade.</w:t>
            </w:r>
          </w:p>
        </w:tc>
      </w:tr>
      <w:tr>
        <w:trPr>
          <w:cantSplit/>
        </w:trPr>
        <w:tc>
          <w:tcPr>
            <w:tcW w:type="dxa" w:w="1701"/>
            <w:vAlign w:val="center"/>
          </w:tcPr>
          <w:p>
            <w:pPr>
              <w:keepNext w:val="0"/>
              <w:widowControl/>
              <w:spacing w:line="259" w:lineRule="auto" w:after="0" w:before="0"/>
            </w:pPr>
            <w:r>
              <w:rPr>
                <w:b w:val="0"/>
                <w:sz w:val="21"/>
              </w:rPr>
              <w:t>Dias 15 a 21</w:t>
            </w:r>
          </w:p>
        </w:tc>
        <w:tc>
          <w:tcPr>
            <w:tcW w:type="dxa" w:w="4535"/>
            <w:vAlign w:val="center"/>
          </w:tcPr>
          <w:p>
            <w:pPr>
              <w:keepNext w:val="0"/>
              <w:widowControl/>
              <w:spacing w:line="259" w:lineRule="auto" w:after="0" w:before="0"/>
            </w:pPr>
            <w:r>
              <w:rPr>
                <w:b w:val="0"/>
                <w:sz w:val="21"/>
              </w:rPr>
              <w:t>Simplificar uma tarefa e testar uma forma mais interessante de aprender ou trabalhar.</w:t>
            </w:r>
          </w:p>
        </w:tc>
        <w:tc>
          <w:tcPr>
            <w:tcW w:type="dxa" w:w="2835"/>
            <w:vAlign w:val="center"/>
          </w:tcPr>
          <w:p>
            <w:pPr>
              <w:keepNext w:val="0"/>
              <w:widowControl/>
              <w:spacing w:line="259" w:lineRule="auto" w:after="0" w:before="0"/>
            </w:pPr>
            <w:r>
              <w:rPr>
                <w:b w:val="0"/>
                <w:sz w:val="21"/>
              </w:rPr>
              <w:t>Uma mudança pequena aplicada com responsabilidades preservadas.</w:t>
            </w:r>
          </w:p>
        </w:tc>
      </w:tr>
      <w:tr>
        <w:trPr>
          <w:cantSplit/>
        </w:trPr>
        <w:tc>
          <w:tcPr>
            <w:tcW w:type="dxa" w:w="1701"/>
            <w:vAlign w:val="center"/>
            <w:shd w:fill="F2F6F8"/>
          </w:tcPr>
          <w:p>
            <w:pPr>
              <w:keepNext w:val="0"/>
              <w:widowControl/>
              <w:spacing w:line="259" w:lineRule="auto" w:after="0" w:before="0"/>
            </w:pPr>
            <w:r>
              <w:rPr>
                <w:b w:val="0"/>
                <w:sz w:val="21"/>
              </w:rPr>
              <w:t>Dias 22 a 30</w:t>
            </w:r>
          </w:p>
        </w:tc>
        <w:tc>
          <w:tcPr>
            <w:tcW w:type="dxa" w:w="4535"/>
            <w:vAlign w:val="center"/>
            <w:shd w:fill="F2F6F8"/>
          </w:tcPr>
          <w:p>
            <w:pPr>
              <w:keepNext w:val="0"/>
              <w:widowControl/>
              <w:spacing w:line="259" w:lineRule="auto" w:after="0" w:before="0"/>
            </w:pPr>
            <w:r>
              <w:rPr>
                <w:b w:val="0"/>
                <w:sz w:val="21"/>
              </w:rPr>
              <w:t>Repetir o que fez bem e retirar o que virou obrigação.</w:t>
            </w:r>
          </w:p>
        </w:tc>
        <w:tc>
          <w:tcPr>
            <w:tcW w:type="dxa" w:w="2835"/>
            <w:vAlign w:val="center"/>
            <w:shd w:fill="F2F6F8"/>
          </w:tcPr>
          <w:p>
            <w:pPr>
              <w:keepNext w:val="0"/>
              <w:widowControl/>
              <w:spacing w:line="259" w:lineRule="auto" w:after="0" w:before="0"/>
            </w:pPr>
            <w:r>
              <w:rPr>
                <w:b w:val="0"/>
                <w:sz w:val="21"/>
              </w:rPr>
              <w:t>Duas práticas escolhidas para continuar, ou decisão consciente de ajustar.</w:t>
            </w:r>
          </w:p>
        </w:tc>
      </w:tr>
    </w:tbl>
    <w:p>
      <w:pPr>
        <w:spacing w:after="20"/>
      </w:pPr>
    </w:p>
    <w:p>
      <w:r>
        <w:rPr>
          <w:b w:val="0"/>
        </w:rPr>
        <w:t>As quantidades e durações são sugestões de desenho, adaptáveis. Quem tiver pouco tempo ou energia pode começar com dez minutos. Os períodos saem do tempo disponível ou de simplificações; o projeto não pressupõe retirar tempo necessário de sono, cuidado ou compromissos essenciais.</w:t>
      </w:r>
    </w:p>
    <w:p>
      <w:r>
        <w:rPr>
          <w:b/>
        </w:rPr>
        <w:t>Exemplo para esta frente:</w:t>
      </w:r>
      <w:r>
        <w:rPr>
          <w:b w:val="0"/>
        </w:rPr>
        <w:t xml:space="preserve"> reservar um momento para jogar algo já disponível, ouvir música, conversar com alguém de confiança, criar uma história do Reaverso ou aproveitar natureza acessível. A atividade depende do interesse atual e do que realmente está disponível; não exige nova compra.</w:t>
      </w:r>
    </w:p>
    <w:p>
      <w:r>
        <w:rPr>
          <w:b/>
        </w:rPr>
        <w:t>Pausa e ajuste:</w:t>
      </w:r>
      <w:r>
        <w:rPr>
          <w:b w:val="0"/>
        </w:rPr>
        <w:t xml:space="preserve"> se a organização aumentar o desgaste, simplificar o registro. Se o gasto comprometer obrigações, voltar a opções gratuitas. Se uma interação trouxer pressão ou desconforto, interromper a participação e utilizar os canais de apoio pertinentes.</w:t>
      </w:r>
    </w:p>
    <w:p>
      <w:pPr>
        <w:pStyle w:val="Heading1"/>
      </w:pPr>
      <w:r>
        <w:t>10 Indicadores e avaliação</w:t>
      </w:r>
    </w:p>
    <w:p>
      <w:r>
        <w:rPr>
          <w:b w:val="0"/>
        </w:rPr>
        <w:t>Uma revisão semanal de cinco minutos é suficiente para o piloto. Registros são opcionais e servem à própria pessoa. Para instituições, a avaliação deve ser proporcional, agregada e acompanhada de análise de acesso e problemas relatados.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10" w:type="dxa"/>
          <w:right w:w="110" w:type="dxa"/>
        </w:tblCellMar>
      </w:tblPr>
      <w:tblGrid>
        <w:gridCol w:w="2268"/>
        <w:gridCol w:w="3969"/>
        <w:gridCol w:w="2835"/>
      </w:tblGrid>
      <w:tr>
        <w:trPr>
          <w:cantSplit/>
          <w:tblHeader/>
        </w:trPr>
        <w:tc>
          <w:tcPr>
            <w:tcW w:type="dxa" w:w="2268"/>
            <w:vAlign w:val="center"/>
            <w:shd w:fill="23465E"/>
          </w:tcPr>
          <w:p>
            <w:pPr>
              <w:keepNext w:val="0"/>
              <w:widowControl/>
              <w:spacing w:line="259" w:lineRule="auto" w:after="0" w:before="0"/>
            </w:pPr>
            <w:r>
              <w:rPr>
                <w:b/>
                <w:color w:val="FFFFFF"/>
                <w:sz w:val="21"/>
              </w:rPr>
              <w:t>Indicador</w:t>
            </w:r>
          </w:p>
        </w:tc>
        <w:tc>
          <w:tcPr>
            <w:tcW w:type="dxa" w:w="3969"/>
            <w:vAlign w:val="center"/>
            <w:shd w:fill="23465E"/>
          </w:tcPr>
          <w:p>
            <w:pPr>
              <w:keepNext w:val="0"/>
              <w:widowControl/>
              <w:spacing w:line="259" w:lineRule="auto" w:after="0" w:before="0"/>
            </w:pPr>
            <w:r>
              <w:rPr>
                <w:b/>
                <w:color w:val="FFFFFF"/>
                <w:sz w:val="21"/>
              </w:rPr>
              <w:t>Pergunta simples</w:t>
            </w:r>
          </w:p>
        </w:tc>
        <w:tc>
          <w:tcPr>
            <w:tcW w:type="dxa" w:w="2835"/>
            <w:vAlign w:val="center"/>
            <w:shd w:fill="23465E"/>
          </w:tcPr>
          <w:p>
            <w:pPr>
              <w:keepNext w:val="0"/>
              <w:widowControl/>
              <w:spacing w:line="259" w:lineRule="auto" w:after="0" w:before="0"/>
            </w:pPr>
            <w:r>
              <w:rPr>
                <w:b/>
                <w:color w:val="FFFFFF"/>
                <w:sz w:val="21"/>
              </w:rPr>
              <w:t>Uso da resposta</w:t>
            </w:r>
          </w:p>
        </w:tc>
      </w:tr>
      <w:tr>
        <w:trPr>
          <w:cantSplit/>
        </w:trPr>
        <w:tc>
          <w:tcPr>
            <w:tcW w:type="dxa" w:w="2268"/>
            <w:vAlign w:val="center"/>
          </w:tcPr>
          <w:p>
            <w:pPr>
              <w:keepNext w:val="0"/>
              <w:widowControl/>
              <w:spacing w:line="259" w:lineRule="auto" w:after="0" w:before="0"/>
            </w:pPr>
            <w:r>
              <w:rPr>
                <w:b w:val="0"/>
                <w:sz w:val="21"/>
              </w:rPr>
              <w:t>Tempo escolhido</w:t>
            </w:r>
          </w:p>
        </w:tc>
        <w:tc>
          <w:tcPr>
            <w:tcW w:type="dxa" w:w="3969"/>
            <w:vAlign w:val="center"/>
          </w:tcPr>
          <w:p>
            <w:pPr>
              <w:keepNext w:val="0"/>
              <w:widowControl/>
              <w:spacing w:line="259" w:lineRule="auto" w:after="0" w:before="0"/>
            </w:pPr>
            <w:r>
              <w:rPr>
                <w:b w:val="0"/>
                <w:sz w:val="21"/>
              </w:rPr>
              <w:t>Tive algum tempo que senti ser meu?</w:t>
            </w:r>
          </w:p>
        </w:tc>
        <w:tc>
          <w:tcPr>
            <w:tcW w:type="dxa" w:w="2835"/>
            <w:vAlign w:val="center"/>
          </w:tcPr>
          <w:p>
            <w:pPr>
              <w:keepNext w:val="0"/>
              <w:widowControl/>
              <w:spacing w:line="259" w:lineRule="auto" w:after="0" w:before="0"/>
            </w:pPr>
            <w:r>
              <w:rPr>
                <w:b w:val="0"/>
                <w:sz w:val="21"/>
              </w:rPr>
              <w:t>Ajustar a agenda.</w:t>
            </w:r>
          </w:p>
        </w:tc>
      </w:tr>
      <w:tr>
        <w:trPr>
          <w:cantSplit/>
        </w:trPr>
        <w:tc>
          <w:tcPr>
            <w:tcW w:type="dxa" w:w="2268"/>
            <w:vAlign w:val="center"/>
            <w:shd w:fill="F2F6F8"/>
          </w:tcPr>
          <w:p>
            <w:pPr>
              <w:keepNext w:val="0"/>
              <w:widowControl/>
              <w:spacing w:line="259" w:lineRule="auto" w:after="0" w:before="0"/>
            </w:pPr>
            <w:r>
              <w:rPr>
                <w:b w:val="0"/>
                <w:sz w:val="21"/>
              </w:rPr>
              <w:t>Prazer e recuperação</w:t>
            </w:r>
          </w:p>
        </w:tc>
        <w:tc>
          <w:tcPr>
            <w:tcW w:type="dxa" w:w="3969"/>
            <w:vAlign w:val="center"/>
            <w:shd w:fill="F2F6F8"/>
          </w:tcPr>
          <w:p>
            <w:pPr>
              <w:keepNext w:val="0"/>
              <w:widowControl/>
              <w:spacing w:line="259" w:lineRule="auto" w:after="0" w:before="0"/>
            </w:pPr>
            <w:r>
              <w:rPr>
                <w:b w:val="0"/>
                <w:sz w:val="21"/>
              </w:rPr>
              <w:t>O que me fez bem e desejo repetir?</w:t>
            </w:r>
          </w:p>
        </w:tc>
        <w:tc>
          <w:tcPr>
            <w:tcW w:type="dxa" w:w="2835"/>
            <w:vAlign w:val="center"/>
            <w:shd w:fill="F2F6F8"/>
          </w:tcPr>
          <w:p>
            <w:pPr>
              <w:keepNext w:val="0"/>
              <w:widowControl/>
              <w:spacing w:line="259" w:lineRule="auto" w:after="0" w:before="0"/>
            </w:pPr>
            <w:r>
              <w:rPr>
                <w:b w:val="0"/>
                <w:sz w:val="21"/>
              </w:rPr>
              <w:t>Escolher experiências.</w:t>
            </w:r>
          </w:p>
        </w:tc>
      </w:tr>
      <w:tr>
        <w:trPr>
          <w:cantSplit/>
        </w:trPr>
        <w:tc>
          <w:tcPr>
            <w:tcW w:type="dxa" w:w="2268"/>
            <w:vAlign w:val="center"/>
          </w:tcPr>
          <w:p>
            <w:pPr>
              <w:keepNext w:val="0"/>
              <w:widowControl/>
              <w:spacing w:line="259" w:lineRule="auto" w:after="0" w:before="0"/>
            </w:pPr>
            <w:r>
              <w:rPr>
                <w:b w:val="0"/>
                <w:sz w:val="21"/>
              </w:rPr>
              <w:t>Vínculos</w:t>
            </w:r>
          </w:p>
        </w:tc>
        <w:tc>
          <w:tcPr>
            <w:tcW w:type="dxa" w:w="3969"/>
            <w:vAlign w:val="center"/>
          </w:tcPr>
          <w:p>
            <w:pPr>
              <w:keepNext w:val="0"/>
              <w:widowControl/>
              <w:spacing w:line="259" w:lineRule="auto" w:after="0" w:before="0"/>
            </w:pPr>
            <w:r>
              <w:rPr>
                <w:b w:val="0"/>
                <w:sz w:val="21"/>
              </w:rPr>
              <w:t>Houve contato que me trouxe acolhimento?</w:t>
            </w:r>
          </w:p>
        </w:tc>
        <w:tc>
          <w:tcPr>
            <w:tcW w:type="dxa" w:w="2835"/>
            <w:vAlign w:val="center"/>
          </w:tcPr>
          <w:p>
            <w:pPr>
              <w:keepNext w:val="0"/>
              <w:widowControl/>
              <w:spacing w:line="259" w:lineRule="auto" w:after="0" w:before="0"/>
            </w:pPr>
            <w:r>
              <w:rPr>
                <w:b w:val="0"/>
                <w:sz w:val="21"/>
              </w:rPr>
              <w:t>Cultivar relações desejadas.</w:t>
            </w:r>
          </w:p>
        </w:tc>
      </w:tr>
      <w:tr>
        <w:trPr>
          <w:cantSplit/>
        </w:trPr>
        <w:tc>
          <w:tcPr>
            <w:tcW w:type="dxa" w:w="2268"/>
            <w:vAlign w:val="center"/>
            <w:shd w:fill="F2F6F8"/>
          </w:tcPr>
          <w:p>
            <w:pPr>
              <w:keepNext w:val="0"/>
              <w:widowControl/>
              <w:spacing w:line="259" w:lineRule="auto" w:after="0" w:before="0"/>
            </w:pPr>
            <w:r>
              <w:rPr>
                <w:b w:val="0"/>
                <w:sz w:val="21"/>
              </w:rPr>
              <w:t>Sustentabilidade</w:t>
            </w:r>
          </w:p>
        </w:tc>
        <w:tc>
          <w:tcPr>
            <w:tcW w:type="dxa" w:w="3969"/>
            <w:vAlign w:val="center"/>
            <w:shd w:fill="F2F6F8"/>
          </w:tcPr>
          <w:p>
            <w:pPr>
              <w:keepNext w:val="0"/>
              <w:widowControl/>
              <w:spacing w:line="259" w:lineRule="auto" w:after="0" w:before="0"/>
            </w:pPr>
            <w:r>
              <w:rPr>
                <w:b w:val="0"/>
                <w:sz w:val="21"/>
              </w:rPr>
              <w:t>Coube nos meus recursos e responsabilidades?</w:t>
            </w:r>
          </w:p>
        </w:tc>
        <w:tc>
          <w:tcPr>
            <w:tcW w:type="dxa" w:w="2835"/>
            <w:vAlign w:val="center"/>
            <w:shd w:fill="F2F6F8"/>
          </w:tcPr>
          <w:p>
            <w:pPr>
              <w:keepNext w:val="0"/>
              <w:widowControl/>
              <w:spacing w:line="259" w:lineRule="auto" w:after="0" w:before="0"/>
            </w:pPr>
            <w:r>
              <w:rPr>
                <w:b w:val="0"/>
                <w:sz w:val="21"/>
              </w:rPr>
              <w:t>Rever custo e compromisso.</w:t>
            </w:r>
          </w:p>
        </w:tc>
      </w:tr>
      <w:tr>
        <w:trPr>
          <w:cantSplit/>
        </w:trPr>
        <w:tc>
          <w:tcPr>
            <w:tcW w:type="dxa" w:w="2268"/>
            <w:vAlign w:val="center"/>
          </w:tcPr>
          <w:p>
            <w:pPr>
              <w:keepNext w:val="0"/>
              <w:widowControl/>
              <w:spacing w:line="259" w:lineRule="auto" w:after="0" w:before="0"/>
            </w:pPr>
            <w:r>
              <w:rPr>
                <w:b w:val="0"/>
                <w:sz w:val="21"/>
              </w:rPr>
              <w:t>Carga do projeto</w:t>
            </w:r>
          </w:p>
        </w:tc>
        <w:tc>
          <w:tcPr>
            <w:tcW w:type="dxa" w:w="3969"/>
            <w:vAlign w:val="center"/>
          </w:tcPr>
          <w:p>
            <w:pPr>
              <w:keepNext w:val="0"/>
              <w:widowControl/>
              <w:spacing w:line="259" w:lineRule="auto" w:after="0" w:before="0"/>
            </w:pPr>
            <w:r>
              <w:rPr>
                <w:b w:val="0"/>
                <w:sz w:val="21"/>
              </w:rPr>
              <w:t>Organizar ajudou ou virou mais uma obrigação?</w:t>
            </w:r>
          </w:p>
        </w:tc>
        <w:tc>
          <w:tcPr>
            <w:tcW w:type="dxa" w:w="2835"/>
            <w:vAlign w:val="center"/>
          </w:tcPr>
          <w:p>
            <w:pPr>
              <w:keepNext w:val="0"/>
              <w:widowControl/>
              <w:spacing w:line="259" w:lineRule="auto" w:after="0" w:before="0"/>
            </w:pPr>
            <w:r>
              <w:rPr>
                <w:b w:val="0"/>
                <w:sz w:val="21"/>
              </w:rPr>
              <w:t>Simplificar ou pausar.</w:t>
            </w:r>
          </w:p>
        </w:tc>
      </w:tr>
    </w:tbl>
    <w:p>
      <w:pPr>
        <w:spacing w:after="20"/>
      </w:pPr>
    </w:p>
    <w:p>
      <w:r>
        <w:rPr>
          <w:b w:val="0"/>
        </w:rPr>
        <w:t>O participante pode responder em palavras ou usar uma escala pessoal opcional de 0 a 10. Não há pontuação global, classificação entre pessoas, penalidade por faltar ou obrigação de sequência diária. Nenhum indicador estima “anos de vida ganhos”.</w:t>
      </w:r>
    </w:p>
    <w:p>
      <w:r>
        <w:rPr>
          <w:b w:val="0"/>
        </w:rPr>
        <w:t>Uma melhora percebida em 30 dias é um sinal para continuar ou ajustar; não demonstra causalidade. Antes de ampliar o programa, comparar experiência dos participantes, desistências, custos, barreiras e eventuais efeitos negativos. Desistências devem ser ouvidas como informação, sem penalizar quem sai.</w:t>
      </w:r>
    </w:p>
    <w:p>
      <w:pPr>
        <w:pStyle w:val="Heading1"/>
      </w:pPr>
      <w:r>
        <w:t>11 Principais erros a evitar</w:t>
      </w:r>
    </w:p>
    <w:p>
      <w:pPr>
        <w:pStyle w:val="ListBullet"/>
      </w:pPr>
      <w:r>
        <w:rPr>
          <w:b/>
        </w:rPr>
        <w:t>Tratar investimento financeiro como doença:</w:t>
      </w:r>
      <w:r>
        <w:rPr>
          <w:b w:val="0"/>
        </w:rPr>
        <w:t xml:space="preserve"> a questão central é sua finalidade e seu custo de tempo, preservando proteção e escolhas.</w:t>
      </w:r>
    </w:p>
    <w:p>
      <w:pPr>
        <w:pStyle w:val="ListBullet"/>
      </w:pPr>
      <w:r>
        <w:rPr>
          <w:b/>
        </w:rPr>
        <w:t>Confundir viver bem com consumir mais:</w:t>
      </w:r>
      <w:r>
        <w:rPr>
          <w:b w:val="0"/>
        </w:rPr>
        <w:t xml:space="preserve"> uma atividade gratuita ou um descanso pode atender melhor à preferência do momento.</w:t>
      </w:r>
    </w:p>
    <w:p>
      <w:pPr>
        <w:pStyle w:val="ListBullet"/>
      </w:pPr>
      <w:r>
        <w:rPr>
          <w:b/>
        </w:rPr>
        <w:t>Exigir alegria e produtividade:</w:t>
      </w:r>
      <w:r>
        <w:rPr>
          <w:b w:val="0"/>
        </w:rPr>
        <w:t xml:space="preserve"> prazer, interesse e disposição variam; a pessoa pode descansar e mudar de ideia.</w:t>
      </w:r>
    </w:p>
    <w:p>
      <w:pPr>
        <w:pStyle w:val="ListBullet"/>
      </w:pPr>
      <w:r>
        <w:rPr>
          <w:b/>
        </w:rPr>
        <w:t>Pressupor desejo sexual universal:</w:t>
      </w:r>
      <w:r>
        <w:rPr>
          <w:b w:val="0"/>
        </w:rPr>
        <w:t xml:space="preserve"> relações dependem de escolha, consentimento e respeito aos limites.</w:t>
      </w:r>
    </w:p>
    <w:p>
      <w:pPr>
        <w:pStyle w:val="ListBullet"/>
      </w:pPr>
      <w:r>
        <w:rPr>
          <w:b/>
        </w:rPr>
        <w:t>Confundir fantasia com evidência:</w:t>
      </w:r>
      <w:r>
        <w:rPr>
          <w:b w:val="0"/>
        </w:rPr>
        <w:t xml:space="preserve"> magia oferece narrativa; ciência sustenta alegações verificáveis.</w:t>
      </w:r>
    </w:p>
    <w:p>
      <w:pPr>
        <w:pStyle w:val="ListBullet"/>
      </w:pPr>
      <w:r>
        <w:rPr>
          <w:b/>
        </w:rPr>
        <w:t>Automatizar além da autorização:</w:t>
      </w:r>
      <w:r>
        <w:rPr>
          <w:b w:val="0"/>
        </w:rPr>
        <w:t xml:space="preserve"> IA deve apresentar propostas e permitir controle sobre decisões e dados.</w:t>
      </w:r>
    </w:p>
    <w:p>
      <w:pPr>
        <w:pStyle w:val="ListBullet"/>
      </w:pPr>
      <w:r>
        <w:rPr>
          <w:b/>
        </w:rPr>
        <w:t>Expandir antes de aprender:</w:t>
      </w:r>
      <w:r>
        <w:rPr>
          <w:b w:val="0"/>
        </w:rPr>
        <w:t xml:space="preserve"> iniciar pequeno, medir custos reais e conservar apenas o que ajuda.</w:t>
      </w:r>
    </w:p>
    <w:p>
      <w:pPr>
        <w:pStyle w:val="Heading1"/>
      </w:pPr>
      <w:r>
        <w:t>12 Prompt de continuidade</w:t>
      </w:r>
    </w:p>
    <w:p>
      <w:r>
        <w:rPr>
          <w:b/>
        </w:rPr>
        <w:t>Texto reutilizável:</w:t>
      </w:r>
    </w:p>
    <w:p>
      <w:r>
        <w:rPr>
          <w:b w:val="0"/>
        </w:rPr>
        <w:t>Atue como assistente do Projeto Tempo de Viver 360X, concebido por Aldenir Rocha de Oliveira Filho. Ajude a converter tempo, recursos e tecnologia em uma vida com autonomia, descanso, prazer e vínculos, mantendo segurança financeira e responsabilidades.</w:t>
      </w:r>
    </w:p>
    <w:p>
      <w:r>
        <w:rPr>
          <w:b w:val="0"/>
        </w:rPr>
        <w:t>Use apenas informações atuais fornecidas ou confirmadas. Comece identificando o que desejo viver, o tempo disponível, o orçamento possível, inclusive zero, e limites relevantes. Apresente até três opções concretas, com duração, custo estimado claramente identificado e preparação necessária. Escolha comigo uma próxima ação pequena, sem criar uma agenda excessiva.</w:t>
      </w:r>
    </w:p>
    <w:p>
      <w:r>
        <w:rPr>
          <w:b w:val="0"/>
        </w:rPr>
        <w:t>Use interesses como hipóteses revisáveis. Preserve fundamentos de aprendizagem e qualidade do trabalho. Trate intimidade como escolha voluntária de adultos; para adolescentes, mantenha abordagem educativa e protetiva. Não suponha que todas as pessoas desejam sexo, romance, exposição social ou a mesma forma de lazer.</w:t>
      </w:r>
    </w:p>
    <w:p>
      <w:r>
        <w:rPr>
          <w:b w:val="0"/>
        </w:rPr>
        <w:t>Utilize o Reaverso como narrativa opcional: missões, personagens, arte e imaginação. Separe essa linguagem de afirmações científicas. A IA pode sugerir, organizar e preparar; ações externas, pagamentos, mensagens e mudanças de compromisso exigem autorização apropriada.</w:t>
      </w:r>
    </w:p>
    <w:p>
      <w:r>
        <w:rPr>
          <w:b w:val="0"/>
        </w:rPr>
        <w:t>Não recomende liquidar patrimônio ou assumir dívidas para seguir o projeto. Não estime expectativa de vida individual nem prometa aumento de longevidade. Quando uma afirmação depender de pesquisa, cite fonte e data. Encerre com uma próxima ação de até dez minutos e uma forma simples de perceber se ela ajudou. Grato desde já!</w:t>
      </w:r>
    </w:p>
    <w:p>
      <w:pPr>
        <w:pStyle w:val="Heading1"/>
      </w:pPr>
      <w:r>
        <w:t>13 Registro de continuidade</w:t>
      </w:r>
    </w:p>
    <w:p>
      <w:pPr>
        <w:pStyle w:val="ListBullet"/>
      </w:pPr>
      <w:r>
        <w:rPr>
          <w:b/>
        </w:rPr>
        <w:t>Identificador:</w:t>
      </w:r>
      <w:r>
        <w:rPr>
          <w:b w:val="0"/>
        </w:rPr>
        <w:t xml:space="preserve"> 360X-TEMPO-VIVER.</w:t>
      </w:r>
    </w:p>
    <w:p>
      <w:pPr>
        <w:pStyle w:val="ListBullet"/>
      </w:pPr>
      <w:r>
        <w:rPr>
          <w:b/>
        </w:rPr>
        <w:t>Nome canônico:</w:t>
      </w:r>
      <w:r>
        <w:rPr>
          <w:b w:val="0"/>
        </w:rPr>
        <w:t xml:space="preserve"> Projeto Tempo de Viver 360X.</w:t>
      </w:r>
    </w:p>
    <w:p>
      <w:pPr>
        <w:pStyle w:val="ListBullet"/>
      </w:pPr>
      <w:r>
        <w:rPr>
          <w:b/>
        </w:rPr>
        <w:t>Origem:</w:t>
      </w:r>
      <w:r>
        <w:rPr>
          <w:b w:val="0"/>
        </w:rPr>
        <w:t xml:space="preserve"> solicitação de 18 de outubro de 2026, na frente Projeto investimento de Tempo de vida para curtir.</w:t>
      </w:r>
    </w:p>
    <w:p>
      <w:pPr>
        <w:pStyle w:val="ListBullet"/>
      </w:pPr>
      <w:r>
        <w:rPr>
          <w:b/>
        </w:rPr>
        <w:t>Estado da entrega:</w:t>
      </w:r>
      <w:r>
        <w:rPr>
          <w:b w:val="0"/>
        </w:rPr>
        <w:t xml:space="preserve"> projeto conceitual v1 concluído; implantação em exploração.</w:t>
      </w:r>
    </w:p>
    <w:p>
      <w:pPr>
        <w:pStyle w:val="ListBullet"/>
      </w:pPr>
      <w:r>
        <w:rPr>
          <w:b/>
        </w:rPr>
        <w:t>Produto principal:</w:t>
      </w:r>
      <w:r>
        <w:rPr>
          <w:b w:val="0"/>
        </w:rPr>
        <w:t xml:space="preserve"> proposta estruturada com fundamentos, módulos, piloto, indicadores e referências.</w:t>
      </w:r>
    </w:p>
    <w:p>
      <w:pPr>
        <w:pStyle w:val="ListBullet"/>
      </w:pPr>
      <w:r>
        <w:rPr>
          <w:b/>
        </w:rPr>
        <w:t>Próxima ação:</w:t>
      </w:r>
      <w:r>
        <w:rPr>
          <w:b w:val="0"/>
        </w:rPr>
        <w:t xml:space="preserve"> escolher uma experiência desejada que já seja acessível e reservar dez minutos para começar.</w:t>
      </w:r>
    </w:p>
    <w:p>
      <w:pPr>
        <w:pStyle w:val="ListBullet"/>
      </w:pPr>
      <w:r>
        <w:rPr>
          <w:b/>
        </w:rPr>
        <w:t>Conexões preservadas:</w:t>
      </w:r>
      <w:r>
        <w:rPr>
          <w:b w:val="0"/>
        </w:rPr>
        <w:t xml:space="preserve"> Reaverso, convivência humana, educação estimulante, organização do tempo e uso consciente de recursos.</w:t>
      </w:r>
    </w:p>
    <w:p>
      <w:pPr>
        <w:pStyle w:val="ListBullet"/>
      </w:pPr>
      <w:r>
        <w:rPr>
          <w:b/>
        </w:rPr>
        <w:t>Para uma próxima versão:</w:t>
      </w:r>
      <w:r>
        <w:rPr>
          <w:b w:val="0"/>
        </w:rPr>
        <w:t xml:space="preserve"> protótipo visual, agenda assistida, oficinas e programa comunitário.</w:t>
      </w:r>
    </w:p>
    <w:p>
      <w:pPr>
        <w:pStyle w:val="ListBullet"/>
      </w:pPr>
      <w:r>
        <w:rPr>
          <w:b/>
        </w:rPr>
        <w:t>Dados a confirmar para personalização:</w:t>
      </w:r>
      <w:r>
        <w:rPr>
          <w:b w:val="0"/>
        </w:rPr>
        <w:t xml:space="preserve"> tempo disponível, preferências atuais, orçamento e responsabilidades.</w:t>
      </w:r>
    </w:p>
    <w:p>
      <w:pPr>
        <w:pStyle w:val="ListBullet"/>
      </w:pPr>
      <w:r>
        <w:rPr>
          <w:b/>
        </w:rPr>
        <w:t>Critério de retomada:</w:t>
      </w:r>
      <w:r>
        <w:rPr>
          <w:b w:val="0"/>
        </w:rPr>
        <w:t xml:space="preserve"> começar pela próxima ação; atualizar somente os dados que mudaram.</w:t>
      </w:r>
    </w:p>
    <w:p>
      <w:pPr>
        <w:pStyle w:val="Heading1"/>
        <w:pageBreakBefore/>
      </w:pPr>
      <w:r>
        <w:t>Referências</w:t>
      </w:r>
    </w:p>
    <w:p>
      <w:r>
        <w:rPr>
          <w:b w:val="0"/>
        </w:rPr>
        <w:t>Fontes consultadas em 18 de outubro de 2026. Datas de publicação e atualização são indicadas quando verificadas. Os números entre colchetes no texto remetem à lista abaixo.</w:t>
      </w:r>
    </w:p>
    <w:p>
      <w:pPr>
        <w:spacing w:line="252" w:lineRule="auto" w:after="180"/>
      </w:pPr>
      <w:r>
        <w:rPr>
          <w:b w:val="0"/>
          <w:sz w:val="21"/>
        </w:rPr>
        <w:t xml:space="preserve">[1] WORLD HEALTH ORGANIZATION; INTERNATIONAL LABOUR ORGANIZATION. Long working hours increasing deaths from heart disease and stroke. 17 maio 2021. Comunicado sobre Pega et al., Environment International, v. 154, 106595, DOI 10.1016/j.envint.2021.106595. </w:t>
      </w:r>
      <w:hyperlink r:id="rId10">
        <w:r>
          <w:rPr>
            <w:color w:val="185A7A"/>
            <w:u w:val="single"/>
          </w:rPr>
          <w:t>OMS e OIT</w:t>
        </w:r>
      </w:hyperlink>
    </w:p>
    <w:p>
      <w:pPr>
        <w:spacing w:line="252" w:lineRule="auto" w:after="180"/>
      </w:pPr>
      <w:r>
        <w:rPr>
          <w:b w:val="0"/>
          <w:sz w:val="21"/>
        </w:rPr>
        <w:t xml:space="preserve">[2] UNITED STATES FOOD AND DRUG ADMINISTRATION. Nicotine Is Why Tobacco Products Are Addictive. Página institucional consultada em 18 out. 2026. </w:t>
      </w:r>
      <w:hyperlink r:id="rId11">
        <w:r>
          <w:rPr>
            <w:color w:val="185A7A"/>
            <w:u w:val="single"/>
          </w:rPr>
          <w:t>FDA</w:t>
        </w:r>
      </w:hyperlink>
    </w:p>
    <w:p>
      <w:pPr>
        <w:spacing w:line="252" w:lineRule="auto" w:after="180"/>
      </w:pPr>
      <w:r>
        <w:rPr>
          <w:b w:val="0"/>
          <w:sz w:val="21"/>
        </w:rPr>
        <w:t xml:space="preserve">[3] WHILLANS, A. V. et al. Buying time promotes happiness. Proceedings of the National Academy of Sciences, v. 114, n. 32, p. 8523–8527, 2017. DOI 10.1073/pnas.1706541114. </w:t>
      </w:r>
      <w:hyperlink r:id="rId12">
        <w:r>
          <w:rPr>
            <w:color w:val="185A7A"/>
            <w:u w:val="single"/>
          </w:rPr>
          <w:t>Artigo completo</w:t>
        </w:r>
      </w:hyperlink>
    </w:p>
    <w:p>
      <w:pPr>
        <w:spacing w:line="252" w:lineRule="auto" w:after="180"/>
      </w:pPr>
      <w:r>
        <w:rPr>
          <w:b w:val="0"/>
          <w:sz w:val="21"/>
        </w:rPr>
        <w:t xml:space="preserve">[4] KILLINGSWORTH, M. A.; KAHNEMAN, D.; MELLERS, B. Income and emotional well-being: A conflict resolved. Proceedings of the National Academy of Sciences, 2023. DOI 10.1073/pnas.2208661120. </w:t>
      </w:r>
      <w:hyperlink r:id="rId13">
        <w:r>
          <w:rPr>
            <w:color w:val="185A7A"/>
            <w:u w:val="single"/>
          </w:rPr>
          <w:t>Artigo completo</w:t>
        </w:r>
      </w:hyperlink>
    </w:p>
    <w:p>
      <w:pPr>
        <w:spacing w:line="252" w:lineRule="auto" w:after="180"/>
      </w:pPr>
      <w:r>
        <w:rPr>
          <w:b w:val="0"/>
          <w:sz w:val="21"/>
        </w:rPr>
        <w:t xml:space="preserve">[5] COMISSÃO DE VALORES MOBILIÁRIOS. Emergências e aposentadoria. 15 set. 2022. Atualizado em 16 dez. 2025. </w:t>
      </w:r>
      <w:hyperlink r:id="rId14">
        <w:r>
          <w:rPr>
            <w:color w:val="185A7A"/>
            <w:u w:val="single"/>
          </w:rPr>
          <w:t>Portal do Investidor</w:t>
        </w:r>
      </w:hyperlink>
    </w:p>
    <w:p>
      <w:pPr>
        <w:spacing w:line="252" w:lineRule="auto" w:after="180"/>
      </w:pPr>
      <w:r>
        <w:rPr>
          <w:b w:val="0"/>
          <w:sz w:val="21"/>
        </w:rPr>
        <w:t xml:space="preserve">[6] SOUZA, R. Planejamento e gestão de reservas financeiras. Portal do Investidor, Comissão de Valores Mobiliários, 11 abr. 2023. </w:t>
      </w:r>
      <w:hyperlink r:id="rId15">
        <w:r>
          <w:rPr>
            <w:color w:val="185A7A"/>
            <w:u w:val="single"/>
          </w:rPr>
          <w:t>Portal do Investidor</w:t>
        </w:r>
      </w:hyperlink>
    </w:p>
    <w:p>
      <w:pPr>
        <w:spacing w:line="252" w:lineRule="auto" w:after="180"/>
      </w:pPr>
      <w:r>
        <w:rPr>
          <w:b w:val="0"/>
          <w:sz w:val="21"/>
        </w:rPr>
        <w:t xml:space="preserve">[7] MOEN, P. et al. Does a Flexibility/Support Organizational Initiative Improve High-Tech Employees’ Well-Being? American Sociological Review, v. 81, n. 1, p. 134–164, 2016. DOI 10.1177/0003122415622391. </w:t>
      </w:r>
      <w:hyperlink r:id="rId16">
        <w:r>
          <w:rPr>
            <w:color w:val="185A7A"/>
            <w:u w:val="single"/>
          </w:rPr>
          <w:t>Resumo na University of Minnesota</w:t>
        </w:r>
      </w:hyperlink>
    </w:p>
    <w:p>
      <w:pPr>
        <w:spacing w:line="252" w:lineRule="auto" w:after="180"/>
      </w:pPr>
      <w:r>
        <w:rPr>
          <w:b w:val="0"/>
          <w:sz w:val="21"/>
        </w:rPr>
        <w:t xml:space="preserve">[8] FAN, W. et al. Work time reduction via a 4-day workweek finds improvements in workers’ well-being. Nature Human Behaviour, v. 9, p. 2153–2168, 2025. Publicado em 21 jul. 2025. DOI 10.1038/s41562-025-02259-6. </w:t>
      </w:r>
      <w:hyperlink r:id="rId17">
        <w:r>
          <w:rPr>
            <w:color w:val="185A7A"/>
            <w:u w:val="single"/>
          </w:rPr>
          <w:t>Artigo e resumo</w:t>
        </w:r>
      </w:hyperlink>
    </w:p>
    <w:p>
      <w:pPr>
        <w:spacing w:line="252" w:lineRule="auto" w:after="180"/>
      </w:pPr>
      <w:r>
        <w:rPr>
          <w:b w:val="0"/>
          <w:sz w:val="21"/>
        </w:rPr>
        <w:t xml:space="preserve">[9] FREEMAN, S. et al. Active learning increases student performance in science, engineering, and mathematics. Proceedings of the National Academy of Sciences, v. 111, n. 23, p. 8410–8415, 2014. DOI 10.1073/pnas.1319030111. </w:t>
      </w:r>
      <w:hyperlink r:id="rId18">
        <w:r>
          <w:rPr>
            <w:color w:val="185A7A"/>
            <w:u w:val="single"/>
          </w:rPr>
          <w:t>Resumo original no PubMed</w:t>
        </w:r>
      </w:hyperlink>
    </w:p>
    <w:p>
      <w:pPr>
        <w:spacing w:line="252" w:lineRule="auto" w:after="180"/>
      </w:pPr>
      <w:r>
        <w:rPr>
          <w:b w:val="0"/>
          <w:sz w:val="21"/>
        </w:rPr>
        <w:t xml:space="preserve">[10] WORLD HEALTH ORGANIZATION. Comprehensive sexuality education. 11 mar. 2026. </w:t>
      </w:r>
      <w:hyperlink r:id="rId19">
        <w:r>
          <w:rPr>
            <w:color w:val="185A7A"/>
            <w:u w:val="single"/>
          </w:rPr>
          <w:t>Ficha técnica da OMS</w:t>
        </w:r>
      </w:hyperlink>
    </w:p>
    <w:p>
      <w:pPr>
        <w:spacing w:line="252" w:lineRule="auto" w:after="180"/>
      </w:pPr>
      <w:r>
        <w:rPr>
          <w:b w:val="0"/>
          <w:sz w:val="21"/>
        </w:rPr>
        <w:t xml:space="preserve">[11] UNESCO et al. International technical guidance on sexuality education: an evidence-informed approach. Edição revisada, 2018. Página institucional atualizada em 6 dez. 2024. </w:t>
      </w:r>
      <w:hyperlink r:id="rId20">
        <w:r>
          <w:rPr>
            <w:color w:val="185A7A"/>
            <w:u w:val="single"/>
          </w:rPr>
          <w:t>UNESCO e acesso à edição em português</w:t>
        </w:r>
      </w:hyperlink>
    </w:p>
    <w:p>
      <w:pPr>
        <w:spacing w:line="252" w:lineRule="auto" w:after="180"/>
      </w:pPr>
      <w:r>
        <w:rPr>
          <w:b w:val="0"/>
          <w:sz w:val="21"/>
        </w:rPr>
        <w:t xml:space="preserve">[12] WORLD HEALTH ORGANIZATION. From loneliness to social connection: charting a path to healthier societies. Report of the WHO Commission on Social Connection. 30 jun. 2025. </w:t>
      </w:r>
      <w:hyperlink r:id="rId21">
        <w:r>
          <w:rPr>
            <w:color w:val="185A7A"/>
            <w:u w:val="single"/>
          </w:rPr>
          <w:t>Relatório da OMS</w:t>
        </w:r>
      </w:hyperlink>
    </w:p>
    <w:sectPr w:rsidR="00FC693F" w:rsidRPr="0006063C" w:rsidSect="00034616">
      <w:footerReference w:type="default" r:id="rId22"/>
      <w:pgSz w:w="11906" w:h="16838"/>
      <w:pgMar w:top="1361" w:right="1134" w:bottom="1247" w:left="1701"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Tempo de Viver 360X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Arial" w:hAnsi="Arial" w:eastAsia="Arial" w:cs="Arial"/>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cs="Arial"/>
      <w:b/>
      <w:bCs/>
      <w:color w:val="000000"/>
      <w:sz w:val="32"/>
      <w:szCs w:val="28"/>
      <w:lang w:val="pt-BR"/>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eastAsia="Arial" w:cs="Arial"/>
      <w:b/>
      <w:bCs/>
      <w:color w:val="000000"/>
      <w:sz w:val="26"/>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cs="Arial"/>
      <w:b/>
      <w:color w:val="000000"/>
      <w:spacing w:val="5"/>
      <w:kern w:val="28"/>
      <w:sz w:val="48"/>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cs="Arial"/>
      <w:i/>
      <w:iCs/>
      <w:color w:val="000000"/>
      <w:spacing w:val="15"/>
      <w:sz w:val="28"/>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120"/>
      <w:ind w:left="255" w:hanging="142"/>
      <w:contextualSpacing/>
    </w:pPr>
    <w:rPr>
      <w:rFonts w:ascii="Arial" w:hAnsi="Arial" w:eastAsia="Arial" w:cs="Arial"/>
      <w:color w:val="000000"/>
      <w:sz w:val="24"/>
      <w:lang w:val="pt-B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notion.com/p/3fd4e3810a82815bbda2c71934060c96?pvs=204" TargetMode="External"/><Relationship Id="rId10" Type="http://schemas.openxmlformats.org/officeDocument/2006/relationships/hyperlink" Target="https://www.who.int/news/item/17-05-2021-long-working-hours-increasing-deaths-from-heart-disease-and-stroke-who-ilo" TargetMode="External"/><Relationship Id="rId11" Type="http://schemas.openxmlformats.org/officeDocument/2006/relationships/hyperlink" Target="https://www.fda.gov/tobacco-products/health-effects-tobacco-use/nicotine-why-tobacco-products-are-addictive" TargetMode="External"/><Relationship Id="rId12" Type="http://schemas.openxmlformats.org/officeDocument/2006/relationships/hyperlink" Target="https://www.hbs.edu/ris/Publication%20Files/buying-time-promotes-happiness_93388f5a-5f57-42c1-b9d8-63f50f473dd5.pdf" TargetMode="External"/><Relationship Id="rId13" Type="http://schemas.openxmlformats.org/officeDocument/2006/relationships/hyperlink" Target="https://pmc.ncbi.nlm.nih.gov/articles/PMC10013834/" TargetMode="External"/><Relationship Id="rId14" Type="http://schemas.openxmlformats.org/officeDocument/2006/relationships/hyperlink" Target="https://www.gov.br/investidor/pt-br/investir/antes-de-investir/defina-seus-objetivos/emergencias-e-aposentadoria" TargetMode="External"/><Relationship Id="rId15" Type="http://schemas.openxmlformats.org/officeDocument/2006/relationships/hyperlink" Target="https://www.gov.br/investidor/pt-br/penso-logo-invisto/planejamento-e-gestao-de-reservas-financeiras" TargetMode="External"/><Relationship Id="rId16" Type="http://schemas.openxmlformats.org/officeDocument/2006/relationships/hyperlink" Target="https://experts.umn.edu/en/publications/does-a-flexibilitysupport-organizational-initiative-improve-high-/" TargetMode="External"/><Relationship Id="rId17" Type="http://schemas.openxmlformats.org/officeDocument/2006/relationships/hyperlink" Target="https://www.nature.com/articles/s41562-025-02259-6" TargetMode="External"/><Relationship Id="rId18" Type="http://schemas.openxmlformats.org/officeDocument/2006/relationships/hyperlink" Target="https://pubmed.ncbi.nlm.nih.gov/24821756/" TargetMode="External"/><Relationship Id="rId19" Type="http://schemas.openxmlformats.org/officeDocument/2006/relationships/hyperlink" Target="https://www.who.int/news-room/fact-sheets/detail/comprehensive-sexuality-education" TargetMode="External"/><Relationship Id="rId20" Type="http://schemas.openxmlformats.org/officeDocument/2006/relationships/hyperlink" Target="https://www.unesco.org/en/articles/international-technical-guidance-sexuality-education-evidence-informed-approach" TargetMode="External"/><Relationship Id="rId21" Type="http://schemas.openxmlformats.org/officeDocument/2006/relationships/hyperlink" Target="https://www.who.int/publications/i/item/97824011236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Tempo de Viver 360X</dc:title>
  <dc:subject>Investimento de tempo e recursos em qualidade de vida</dc:subject>
  <dc:creator>Aldenir Rocha de Oliveira Filho</dc:creator>
  <cp:keywords>tempo; qualidade de vida; autonomia; Reaverso; Projeto 360X</cp:keywords>
  <dc:description/>
  <cp:lastModifiedBy/>
  <cp:revision>1</cp:revision>
  <dcterms:created xsi:type="dcterms:W3CDTF">2013-12-23T23:15:00Z</dcterms:created>
  <dcterms:modified xsi:type="dcterms:W3CDTF">2013-12-23T23:15:00Z</dcterms:modified>
  <cp:category/>
</cp:coreProperties>
</file>